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240" w:lineRule="auto"/>
        <w:jc w:val="center"/>
        <w:textAlignment w:val="auto"/>
        <w:rPr>
          <w:rFonts w:hint="eastAsia" w:asciiTheme="minorHAnsi" w:hAnsiTheme="minorHAnsi" w:eastAsiaTheme="minorEastAsia" w:cstheme="minorBidi"/>
          <w:b/>
          <w:bCs/>
          <w:kern w:val="2"/>
          <w:sz w:val="36"/>
          <w:szCs w:val="36"/>
          <w:lang w:val="en-US" w:eastAsia="zh-CN" w:bidi="ar-SA"/>
        </w:rPr>
      </w:pPr>
      <w:r>
        <w:rPr>
          <w:rFonts w:hint="eastAsia" w:asciiTheme="minorHAnsi" w:hAnsiTheme="minorHAnsi" w:eastAsiaTheme="minorEastAsia" w:cstheme="minorBidi"/>
          <w:b/>
          <w:bCs/>
          <w:kern w:val="2"/>
          <w:sz w:val="36"/>
          <w:szCs w:val="36"/>
          <w:lang w:val="en-US" w:eastAsia="zh-CN" w:bidi="ar-SA"/>
        </w:rPr>
        <w:t>《武汉市社会办养老福利机构管理办法》立法后评估报告</w:t>
      </w:r>
    </w:p>
    <w:p>
      <w:pPr>
        <w:pageBreakBefore w:val="0"/>
        <w:widowControl w:val="0"/>
        <w:kinsoku/>
        <w:wordWrap/>
        <w:overflowPunct/>
        <w:topLinePunct w:val="0"/>
        <w:autoSpaceDE/>
        <w:autoSpaceDN/>
        <w:bidi w:val="0"/>
        <w:adjustRightInd/>
        <w:snapToGrid/>
        <w:spacing w:line="240" w:lineRule="auto"/>
        <w:jc w:val="center"/>
        <w:textAlignment w:val="auto"/>
        <w:rPr>
          <w:rFonts w:hint="eastAsia" w:eastAsiaTheme="majorEastAsia"/>
          <w:lang w:eastAsia="zh-CN"/>
        </w:rPr>
      </w:pPr>
      <w:r>
        <w:rPr>
          <w:rFonts w:hint="eastAsia" w:asciiTheme="minorHAnsi" w:hAnsiTheme="minorHAnsi" w:eastAsiaTheme="minorEastAsia" w:cstheme="minorBidi"/>
          <w:b w:val="0"/>
          <w:bCs w:val="0"/>
          <w:kern w:val="2"/>
          <w:sz w:val="24"/>
          <w:szCs w:val="24"/>
          <w:lang w:val="en-US" w:eastAsia="zh-CN" w:bidi="ar-SA"/>
        </w:rPr>
        <w:t>（完整版）</w:t>
      </w:r>
    </w:p>
    <w:p>
      <w:pPr>
        <w:spacing w:line="300" w:lineRule="auto"/>
        <w:ind w:firstLine="562" w:firstLineChars="200"/>
        <w:rPr>
          <w:rFonts w:hint="eastAsia"/>
          <w:b/>
          <w:bCs/>
          <w:sz w:val="28"/>
          <w:szCs w:val="28"/>
        </w:rPr>
      </w:pPr>
      <w:r>
        <w:rPr>
          <w:rFonts w:hint="eastAsia"/>
          <w:b/>
          <w:bCs/>
          <w:sz w:val="28"/>
          <w:szCs w:val="28"/>
        </w:rPr>
        <w:t>一、基础内容评估</w:t>
      </w:r>
      <w:bookmarkStart w:id="24" w:name="_GoBack"/>
      <w:bookmarkEnd w:id="24"/>
    </w:p>
    <w:p>
      <w:pPr>
        <w:spacing w:line="300" w:lineRule="auto"/>
        <w:ind w:firstLine="480" w:firstLineChars="200"/>
      </w:pPr>
      <w:r>
        <w:rPr>
          <w:rFonts w:hint="eastAsia"/>
        </w:rPr>
        <w:t>（一）立法程序评估</w:t>
      </w:r>
    </w:p>
    <w:p>
      <w:pPr>
        <w:spacing w:line="300" w:lineRule="auto"/>
        <w:ind w:firstLine="480" w:firstLineChars="200"/>
      </w:pPr>
      <w:r>
        <w:rPr>
          <w:rFonts w:hint="eastAsia"/>
        </w:rPr>
        <w:t>《武汉市社会办养老福利机构管理办法》（以下简称《办法》）属于地方政府规章，地方政府规章的立法程序指的是在制定、审查、决定等过程中所遵循的法定顺序与方法。规章的制定要看其是否符合《立法法》、《规章制定程序条例》中规定的立法程序，包括规章的立项、起草、审查、审议、决定和公布等。《办法》由武汉市民政局负责起草，市民政局通过调查研究，掌握有关情况和资料后，对规章制定的必要性和可行性进行了充分论证；采取书面征求意见、召开座谈会和论证会等形式，听取相关职能部门和广大人民群众的意见；对所要解决的问题、拟执行的规定等进行了充分的调研论证；起草后经</w:t>
      </w:r>
      <w:r>
        <w:t>2012</w:t>
      </w:r>
      <w:r>
        <w:rPr>
          <w:rFonts w:hint="eastAsia"/>
        </w:rPr>
        <w:t>年</w:t>
      </w:r>
      <w:r>
        <w:t>7</w:t>
      </w:r>
      <w:r>
        <w:rPr>
          <w:rFonts w:hint="eastAsia"/>
        </w:rPr>
        <w:t>月</w:t>
      </w:r>
      <w:r>
        <w:t>11</w:t>
      </w:r>
      <w:r>
        <w:rPr>
          <w:rFonts w:hint="eastAsia"/>
        </w:rPr>
        <w:t>日武汉市政府第</w:t>
      </w:r>
      <w:r>
        <w:t>19</w:t>
      </w:r>
      <w:r>
        <w:rPr>
          <w:rFonts w:hint="eastAsia"/>
        </w:rPr>
        <w:t>次常务会议审议通过，由武汉市人民政府以政府令的形式颁布施行，程序符合《立法法》和《规章制定程序条例》的规定。</w:t>
      </w:r>
    </w:p>
    <w:p>
      <w:pPr>
        <w:spacing w:line="300" w:lineRule="auto"/>
        <w:ind w:firstLine="480" w:firstLineChars="200"/>
      </w:pPr>
      <w:r>
        <w:rPr>
          <w:rFonts w:hint="eastAsia"/>
        </w:rPr>
        <w:t>（二）内容合法性评估</w:t>
      </w:r>
    </w:p>
    <w:p>
      <w:pPr>
        <w:spacing w:line="300" w:lineRule="auto"/>
        <w:ind w:firstLine="480" w:firstLineChars="200"/>
      </w:pPr>
      <w:r>
        <w:rPr>
          <w:rFonts w:hint="eastAsia"/>
        </w:rPr>
        <w:t>《武汉市社会办养老福利机构管理办法》的上位法颇多，有些订立在《办法》出台实施之后，也有些订立在《办法》出台实施之前但进行过修订，立法后评估的目的之一就是协调新法与旧法之间的冲突，因此，后订立的以及修订后的上位法是关注的重点，总的来说，《武汉市社会办养老福利机构管理办法》的上位法主要有：《宪法》、《老年人权益保障法》、《养老机构设立许可办法》（民政部令第</w:t>
      </w:r>
      <w:r>
        <w:t>48</w:t>
      </w:r>
      <w:r>
        <w:rPr>
          <w:rFonts w:hint="eastAsia"/>
        </w:rPr>
        <w:t>号）、《养老机构管理办法》（民政部令第</w:t>
      </w:r>
      <w:r>
        <w:t>49</w:t>
      </w:r>
      <w:r>
        <w:rPr>
          <w:rFonts w:hint="eastAsia"/>
        </w:rPr>
        <w:t>号）、《社会福利机构管理暂行办法》（</w:t>
      </w:r>
      <w:r>
        <w:t>2015</w:t>
      </w:r>
      <w:r>
        <w:rPr>
          <w:rFonts w:hint="eastAsia"/>
        </w:rPr>
        <w:t>年修订稿）（民政部令第</w:t>
      </w:r>
      <w:r>
        <w:t>19</w:t>
      </w:r>
      <w:r>
        <w:rPr>
          <w:rFonts w:hint="eastAsia"/>
        </w:rPr>
        <w:t>号）、《湖北省政府办公厅关于全面放开养老服务市场提升养老服务质量的实施意见》（鄂政办发〔</w:t>
      </w:r>
      <w:r>
        <w:t>2017</w:t>
      </w:r>
      <w:r>
        <w:rPr>
          <w:rFonts w:hint="eastAsia"/>
        </w:rPr>
        <w:t>〕</w:t>
      </w:r>
      <w:r>
        <w:t>44</w:t>
      </w:r>
      <w:r>
        <w:rPr>
          <w:rFonts w:hint="eastAsia"/>
        </w:rPr>
        <w:t>号）。现对《办法》在落实上述上位法基本规定的内容中，是否符合内容合法性要求，依次进行评估：</w:t>
      </w:r>
    </w:p>
    <w:p>
      <w:pPr>
        <w:spacing w:line="300" w:lineRule="auto"/>
        <w:ind w:firstLine="480" w:firstLineChars="200"/>
      </w:pPr>
      <w:r>
        <w:t>1.</w:t>
      </w:r>
      <w:r>
        <w:rPr>
          <w:rFonts w:hint="eastAsia"/>
        </w:rPr>
        <w:t>《宪法》</w:t>
      </w:r>
    </w:p>
    <w:p>
      <w:pPr>
        <w:spacing w:line="300" w:lineRule="auto"/>
        <w:ind w:firstLine="480" w:firstLineChars="200"/>
      </w:pPr>
      <w:r>
        <w:rPr>
          <w:rFonts w:hint="eastAsia"/>
        </w:rPr>
        <w:t>《宪法》是我国的根本法，具有最高的法律效力，是其他所有法律制定的基础和依据。它所规定的是国家的最重要、最根本性的内容。宪法规定：“成年子女有赡养扶助父母的义务”、“禁止虐待老人”、“我国公民在年老的情况下，有从国家和社会获得物质帮助的权利。国家发展为公民享受这些权利所需要的社会保险、社会救济和医疗卫生事业”。从这一规定来看，我国的根本法保障老年人的获得物质帮助的权利，并积极的发展对老年人的社会保险、社会救济及医疗卫生事业。《办法》完全符合《宪法》的精神。</w:t>
      </w:r>
    </w:p>
    <w:p>
      <w:pPr>
        <w:spacing w:line="300" w:lineRule="auto"/>
        <w:ind w:firstLine="480" w:firstLineChars="200"/>
      </w:pPr>
      <w:r>
        <w:t>2.</w:t>
      </w:r>
      <w:r>
        <w:rPr>
          <w:rFonts w:hint="eastAsia"/>
        </w:rPr>
        <w:t>《老年人权益保障法》</w:t>
      </w:r>
    </w:p>
    <w:p>
      <w:pPr>
        <w:spacing w:line="300" w:lineRule="auto"/>
        <w:ind w:firstLine="480" w:firstLineChars="200"/>
      </w:pPr>
      <w:r>
        <w:t>2013</w:t>
      </w:r>
      <w:r>
        <w:rPr>
          <w:rFonts w:hint="eastAsia"/>
        </w:rPr>
        <w:t>年修订实施了《老年人权益保障法》，该法作为一部构建和发展和谐稳定社会关系的重要法律，对于保护老年人的合法权益而言，发挥着重要作用。该法无论是抽象原则还是具体条款都体现出对老年人群体的特殊保护。例如第五条规定：“国家建立多层次的社会保障体系，逐步提高对老年人的保障水平。国家建立和完善以居家为基础、社区为依托、机构为支撑的社会养老服务体系。”新《老年人权益保障法》建立了老年人监护制度，明确了要对患病老人及时治疗和护理，规定要看望老人，提出各地政府要为照料老人提供条件、建设宜居环境等。如“地方各级人民政府和有关部门应当采取措施，发展城乡社区养老服务，鼓励、扶持专业服务机构及其他组织和个人，为居家的老年人提供生活照料、紧急救援、医疗护理、精神慰藉、心理咨询等多种形式的服务。”新法具有重要意义，可以更好的保障老年人合法权益、改善老年人生活环境，弘扬中华民族“尊老敬老爱老”的传统美德。不仅能更大程度的保障老年人这类特殊群体的最低生活水平，还能逐步扩大老年服务的覆盖范围，不断提升老年生活水平和质量。《办法》在第一条中就明确了“维护社会办养老福利机构及其老年人的合法权益，促进社会养老事业发展”的立法目标，在第四章“资助扶持”中，用第二十九条到第三十三条一共五个条文也表明了武汉市政府落实《老年人权益保障法》中“地方各级人民政府和有关部门应当采取措施，发展城乡社区养老服务，鼓励、扶持专业服务机构及其他组织和个人”的要求。</w:t>
      </w:r>
    </w:p>
    <w:p>
      <w:pPr>
        <w:spacing w:line="300" w:lineRule="auto"/>
        <w:ind w:firstLine="480" w:firstLineChars="200"/>
      </w:pPr>
      <w:r>
        <w:t>3.</w:t>
      </w:r>
      <w:r>
        <w:rPr>
          <w:rFonts w:hint="eastAsia"/>
        </w:rPr>
        <w:t>《养老机构管理办法》</w:t>
      </w:r>
    </w:p>
    <w:p>
      <w:pPr>
        <w:spacing w:line="300" w:lineRule="auto"/>
        <w:ind w:firstLine="480" w:firstLineChars="200"/>
      </w:pPr>
      <w:r>
        <w:rPr>
          <w:rFonts w:hint="eastAsia"/>
        </w:rPr>
        <w:t>《养老机构管理办法》共有六章，分为总则、服务内容、内部管理、监督检查、法律责任和附则。</w:t>
      </w:r>
      <w:r>
        <w:rPr>
          <w:rFonts w:hint="eastAsia"/>
          <w:color w:val="000000" w:themeColor="text1"/>
        </w:rPr>
        <w:t>其中规定了对养老机构和老年人的基本要求、养老机构的服务内容、标准和协议、消防安全管理、应急管理和责任险等等，对养老机构的权利和义务作出了明确的规定。</w:t>
      </w:r>
      <w:r>
        <w:rPr>
          <w:rFonts w:hint="eastAsia"/>
        </w:rPr>
        <w:t>《办法》在其第一章总则、第四章运营管理、第六章法律责任这三章对以上内容作了详细的规定。但是《办法》在对《养老机构管理办法》的细化落实中存在以下不足：</w:t>
      </w:r>
    </w:p>
    <w:p>
      <w:pPr>
        <w:spacing w:line="300" w:lineRule="auto"/>
        <w:ind w:firstLine="480" w:firstLineChars="200"/>
      </w:pPr>
      <w:r>
        <w:rPr>
          <w:rFonts w:hint="eastAsia"/>
        </w:rPr>
        <w:t>第一，《养老机构管理办法》第十二条中规定了“养老机构提供的饮食应当符合卫生要求、有利于老年人营养平衡、符合民族风俗习惯。”《办法》规定了前两项内容，对“符合民族风俗习惯”却没有规定；</w:t>
      </w:r>
    </w:p>
    <w:p>
      <w:pPr>
        <w:spacing w:line="300" w:lineRule="auto"/>
        <w:ind w:firstLine="480" w:firstLineChars="200"/>
      </w:pPr>
      <w:r>
        <w:rPr>
          <w:rFonts w:hint="eastAsia"/>
        </w:rPr>
        <w:t>第二，《养老机构管理办法》第二十七条规定“养老机构因变更或者终止等原因暂停、终止服务的，应当于暂停或者终止服务</w:t>
      </w:r>
      <w:r>
        <w:t>60</w:t>
      </w:r>
      <w:r>
        <w:rPr>
          <w:rFonts w:hint="eastAsia"/>
        </w:rPr>
        <w:t>日前，向实施许可的民政部门提交老年人安置方案，方案中应当明确收住老年人的数量、安置计划及实施日期等事项，经批准后方可实施。民政部门应当自接到安置方案之日起</w:t>
      </w:r>
      <w:r>
        <w:t>20</w:t>
      </w:r>
      <w:r>
        <w:rPr>
          <w:rFonts w:hint="eastAsia"/>
        </w:rPr>
        <w:t>日内完成审核工作。民政部门应当督促养老机构实施安置方案，并及时为其妥善安置老年人提供帮助。”《办法》第十七条中将提前报告的时间定为</w:t>
      </w:r>
      <w:r>
        <w:t>30</w:t>
      </w:r>
      <w:r>
        <w:rPr>
          <w:rFonts w:hint="eastAsia"/>
        </w:rPr>
        <w:t>日，而《养老机构管理办法》是在暂停或者终止服务</w:t>
      </w:r>
      <w:r>
        <w:t>60</w:t>
      </w:r>
      <w:r>
        <w:rPr>
          <w:rFonts w:hint="eastAsia"/>
        </w:rPr>
        <w:t>日前提交方案，将提前报告的时间延长至</w:t>
      </w:r>
      <w:r>
        <w:t>60</w:t>
      </w:r>
      <w:r>
        <w:rPr>
          <w:rFonts w:hint="eastAsia"/>
        </w:rPr>
        <w:t>日，赋予养老机构更充足的时间作出下一实施方案，《办法》可以进行相应的调整。与此同时，为进一步明确民政部门相应程序与义务，也可使民政部门的审核期限以及其对安置方案的督促和协助义务在《办法》的修改中有所体现。</w:t>
      </w:r>
    </w:p>
    <w:p>
      <w:pPr>
        <w:spacing w:line="300" w:lineRule="auto"/>
        <w:ind w:firstLine="480" w:firstLineChars="200"/>
      </w:pPr>
      <w:r>
        <w:rPr>
          <w:rFonts w:hint="eastAsia"/>
        </w:rPr>
        <w:t>第三，《养老机构管理办法》第三十三条规定了养老机构的法律责任，责任类型为“由实施许可的民政部门责令改正；情节严重的，处以</w:t>
      </w:r>
      <w:r>
        <w:t>3</w:t>
      </w:r>
      <w:r>
        <w:rPr>
          <w:rFonts w:hint="eastAsia"/>
        </w:rPr>
        <w:t>万元以下的罚款；构成犯罪的，依法追究刑事责任。”而在《办法》中的责任类型却是“依法撤销《社会福利机构设置批准证书》（根据《养老机构设立许可办法》应修改为《养老机构设立许可证》）”和“终止享受资助资格并视情况对已拨付的资助资金予以追缴”这两种类型，这与《养老机构管理办法》的规定不相匹配，《办法》可以进行对应修改。此外，对养老机构具有可责性行为的列举方面，《办法》也与《养老机构管理办法》有较大不同，可以考虑适当进行修改，如“擅自改变服务场地和设施用途的，依法撤销《社会福利机构设置批准证书》”，既没有上位法依据，且该规定是否符合成本效益的衡量，还需要深入论证。</w:t>
      </w:r>
    </w:p>
    <w:p>
      <w:pPr>
        <w:spacing w:line="300" w:lineRule="auto"/>
        <w:ind w:firstLine="480" w:firstLineChars="200"/>
      </w:pPr>
      <w:r>
        <w:t>4.</w:t>
      </w:r>
      <w:r>
        <w:rPr>
          <w:rFonts w:hint="eastAsia"/>
        </w:rPr>
        <w:t>《养老机构设立许可办法》</w:t>
      </w:r>
    </w:p>
    <w:p>
      <w:pPr>
        <w:spacing w:line="300" w:lineRule="auto"/>
        <w:ind w:firstLine="480" w:firstLineChars="200"/>
      </w:pPr>
      <w:r>
        <w:rPr>
          <w:rFonts w:hint="eastAsia"/>
        </w:rPr>
        <w:t>《养老机构设立许可办法》分为六章，分别是总则、条件和程序、许可管理、监督检查，法律责任和附则，这些章节共由三十一条组成，详细地规定了养老机构的设立条件、对监管部门行政行为的监督检查，对许可机构和相对人的违法行为追究法律责任等等。《办法》主要在第二章机构设立中对该内容作了详细的规定，相关规定与作为上位法的《养老机构设立许可办法》基本精神与内容相符。但是，根据民政部办公厅于</w:t>
      </w:r>
      <w:r>
        <w:t>2018</w:t>
      </w:r>
      <w:r>
        <w:rPr>
          <w:rFonts w:hint="eastAsia"/>
        </w:rPr>
        <w:t>年</w:t>
      </w:r>
      <w:r>
        <w:t>7</w:t>
      </w:r>
      <w:r>
        <w:rPr>
          <w:rFonts w:hint="eastAsia"/>
        </w:rPr>
        <w:t>月</w:t>
      </w:r>
      <w:r>
        <w:t>25</w:t>
      </w:r>
      <w:r>
        <w:rPr>
          <w:rFonts w:hint="eastAsia"/>
        </w:rPr>
        <w:t>日发布的《关于贯彻落实国务院常务会议精神做好取消养老机构设立许可有关衔接工作的通知》（民办函〔</w:t>
      </w:r>
      <w:r>
        <w:t>2018</w:t>
      </w:r>
      <w:r>
        <w:rPr>
          <w:rFonts w:hint="eastAsia"/>
        </w:rPr>
        <w:t>〕</w:t>
      </w:r>
      <w:r>
        <w:t>105</w:t>
      </w:r>
      <w:r>
        <w:rPr>
          <w:rFonts w:hint="eastAsia"/>
        </w:rPr>
        <w:t>号）（以下简称《通知》）中的规定，“各地区要全面梳理本地区与养老机构设立许可相关联的政策制度，逐项研究取消许可后的具体调整办法，确保取消许可实施后，相关政策平稳过渡”。因此，未来的国家政策方向是取消养老机构设立的行政许可，其目的在于进一步深化养老服务业的“放、管、服”改革，优化养老服务业的经营环境，并进一步激发养老服务业创新活力。</w:t>
      </w:r>
    </w:p>
    <w:p>
      <w:pPr>
        <w:spacing w:line="300" w:lineRule="auto"/>
        <w:ind w:firstLine="480" w:firstLineChars="200"/>
      </w:pPr>
      <w:r>
        <w:rPr>
          <w:rFonts w:hint="eastAsia"/>
        </w:rPr>
        <w:t>因此，《办法》虽符合目前《养老机构设立许可办法》上位法的相关规定，但是，在未来上位法做出修正时，《办法》很可能出现下位法衔接中的滞后性，彼时应当及时作出相关制度调整。</w:t>
      </w:r>
    </w:p>
    <w:p>
      <w:pPr>
        <w:spacing w:line="300" w:lineRule="auto"/>
        <w:ind w:firstLine="480" w:firstLineChars="200"/>
      </w:pPr>
      <w:r>
        <w:t>5.</w:t>
      </w:r>
      <w:r>
        <w:rPr>
          <w:rFonts w:hint="eastAsia"/>
        </w:rPr>
        <w:t>《社会福利机构管理暂行办法》（</w:t>
      </w:r>
      <w:r>
        <w:t>2015</w:t>
      </w:r>
      <w:r>
        <w:rPr>
          <w:rFonts w:hint="eastAsia"/>
        </w:rPr>
        <w:t>年修订稿）（以下简称《暂行办法》）</w:t>
      </w:r>
    </w:p>
    <w:p>
      <w:pPr>
        <w:spacing w:line="300" w:lineRule="auto"/>
        <w:ind w:firstLine="480" w:firstLineChars="200"/>
      </w:pPr>
      <w:r>
        <w:rPr>
          <w:rFonts w:hint="eastAsia"/>
        </w:rPr>
        <w:t>第一，《暂行办法》第八条第一款第三项规定“拟办社会福利机构资金来源的说明”，而《办法》第十二条规定的却是“资金来源的证明文件”，“说明”与“证明”的要求标准不同，“说明”的要求低于“证明”，可以将《办法》的相关部分修改为“资金来源的说明文件”。</w:t>
      </w:r>
    </w:p>
    <w:p>
      <w:pPr>
        <w:spacing w:line="300" w:lineRule="auto"/>
        <w:ind w:firstLine="480" w:firstLineChars="200"/>
      </w:pPr>
      <w:r>
        <w:rPr>
          <w:rFonts w:hint="eastAsia"/>
        </w:rPr>
        <w:t>第二，《暂行办法》在</w:t>
      </w:r>
      <w:r>
        <w:t>2015</w:t>
      </w:r>
      <w:r>
        <w:rPr>
          <w:rFonts w:hint="eastAsia"/>
        </w:rPr>
        <w:t>年的修改稿中删除了申请材料要求中的“验资证明及资产评估报告”，“验资证明及资产评估报告”已不再是申请的材料之一，《办法》中也可以删除第十四条中相应要求。</w:t>
      </w:r>
    </w:p>
    <w:p>
      <w:pPr>
        <w:spacing w:line="300" w:lineRule="auto"/>
        <w:ind w:firstLine="480" w:firstLineChars="200"/>
      </w:pPr>
      <w:r>
        <w:t>6.</w:t>
      </w:r>
      <w:r>
        <w:rPr>
          <w:rFonts w:hint="eastAsia"/>
        </w:rPr>
        <w:t>《湖北省政府办公厅关于全面放开养老服务市场提升养老服务质量的实施意见》（下文简称《意见》）</w:t>
      </w:r>
    </w:p>
    <w:p>
      <w:pPr>
        <w:spacing w:line="300" w:lineRule="auto"/>
        <w:ind w:firstLine="480" w:firstLineChars="200"/>
      </w:pPr>
      <w:r>
        <w:rPr>
          <w:rFonts w:hint="eastAsia"/>
        </w:rPr>
        <w:t>《意见》围绕简化手续、放宽准入、优化环境和提升能力，制定了全面放开养老服务市场的</w:t>
      </w:r>
      <w:r>
        <w:t>4</w:t>
      </w:r>
      <w:r>
        <w:rPr>
          <w:rFonts w:hint="eastAsia"/>
        </w:rPr>
        <w:t>大类政策措施，对《办法》的完善提出了要求。</w:t>
      </w:r>
    </w:p>
    <w:p>
      <w:pPr>
        <w:spacing w:line="300" w:lineRule="auto"/>
        <w:ind w:firstLine="480" w:firstLineChars="200"/>
      </w:pPr>
      <w:r>
        <w:rPr>
          <w:rFonts w:hint="eastAsia"/>
        </w:rPr>
        <w:t>第一，《意见》指出“降低准入门槛。设立营利性养老机构，应按“先照后证”的简化程序执行，在工商行政管理部门办理登记后，在辖区县级以上人民政府民政部门申请设立许可。……放宽外资准入。按照《外商投资企业设立及变更备案管理暂行办法》（商务部令</w:t>
      </w:r>
      <w:r>
        <w:t>2016</w:t>
      </w:r>
      <w:r>
        <w:rPr>
          <w:rFonts w:hint="eastAsia"/>
        </w:rPr>
        <w:t>年第</w:t>
      </w:r>
      <w:r>
        <w:t>3</w:t>
      </w:r>
      <w:r>
        <w:rPr>
          <w:rFonts w:hint="eastAsia"/>
        </w:rPr>
        <w:t>号），及时为外商投资养老机构办理备案手续。”而《办法》第十六条规定“营利性社会办养老福利机构可先到工商机关依法办理有关登记手续后，再依法取得《社会福利机构设置批准证书》，方可运营并对外服务”，两者间存在冲突，因此可以将《办法》的相关内容修改为“设立营利性养老机构，应按‘先照后证’的简化程序执行，在工商行政管理部门办理登记后，在区民政部门申请设立许可。外商投资设立营利性养老机构，应到商务主管部门申请办理设立备案手续”。</w:t>
      </w:r>
    </w:p>
    <w:p>
      <w:pPr>
        <w:spacing w:line="300" w:lineRule="auto"/>
        <w:ind w:firstLine="480" w:firstLineChars="200"/>
      </w:pPr>
      <w:r>
        <w:rPr>
          <w:rFonts w:hint="eastAsia"/>
        </w:rPr>
        <w:t>第二，《意见》指出“</w:t>
      </w:r>
      <w:r>
        <w:t>1998</w:t>
      </w:r>
      <w:r>
        <w:rPr>
          <w:rFonts w:hint="eastAsia"/>
        </w:rPr>
        <w:t>年</w:t>
      </w:r>
      <w:r>
        <w:t>9</w:t>
      </w:r>
      <w:r>
        <w:rPr>
          <w:rFonts w:hint="eastAsia"/>
        </w:rPr>
        <w:t>月以前建设使用，且未发生改、扩建（含室内外装修、建筑保温、用途变更）的，不需要办理消防设计审核、消防验收或备案手续；建筑面积在</w:t>
      </w:r>
      <w:r>
        <w:t>300</w:t>
      </w:r>
      <w:r>
        <w:rPr>
          <w:rFonts w:hint="eastAsia"/>
        </w:rPr>
        <w:t>平方米（含）以下或者投资</w:t>
      </w:r>
      <w:r>
        <w:t>30</w:t>
      </w:r>
      <w:r>
        <w:rPr>
          <w:rFonts w:hint="eastAsia"/>
        </w:rPr>
        <w:t>万元（含）以下的养老机构、设施，不需要办理消防设计、竣工验收备案手续；其他养老机构依法办理消防审验或备案手续。”《办法》第</w:t>
      </w:r>
      <w:r>
        <w:t>14</w:t>
      </w:r>
      <w:r>
        <w:rPr>
          <w:rFonts w:hint="eastAsia"/>
        </w:rPr>
        <w:t>条对“消防”的规定并无此内容，因此可以进行适当修改加以体现。</w:t>
      </w:r>
    </w:p>
    <w:p>
      <w:pPr>
        <w:spacing w:line="300" w:lineRule="auto"/>
        <w:ind w:firstLine="480" w:firstLineChars="200"/>
      </w:pPr>
      <w:r>
        <w:rPr>
          <w:rFonts w:hint="eastAsia"/>
        </w:rPr>
        <w:t>第三，《意见》指出“民办非营利性养老机构服务收费标准由经营者合理确定，价格主管部门会同民政部门对其财务收支状况、收费项目和调价频次进行必要监管，同时加强对价格水平的监测分析”，而《办法》第</w:t>
      </w:r>
      <w:r>
        <w:t>24</w:t>
      </w:r>
      <w:r>
        <w:rPr>
          <w:rFonts w:hint="eastAsia"/>
        </w:rPr>
        <w:t>条却规定“非营利性社会办养老福利机构的收费项目、收费标准，按照价格主管部门的规定执行并办理经营服务收费监审证。”这两个条文间的内容存在冲突，可以进行相应修改以协调这两者的内容。</w:t>
      </w:r>
    </w:p>
    <w:p>
      <w:pPr>
        <w:spacing w:line="300" w:lineRule="auto"/>
        <w:ind w:firstLine="480" w:firstLineChars="200"/>
      </w:pPr>
      <w:r>
        <w:rPr>
          <w:rFonts w:hint="eastAsia"/>
        </w:rPr>
        <w:t>第四，《意见》提出要完善土地支持政策，具体如“扩大养老服务设施用地供给，优先保障供应”、“新增养老服务用地涉及新增建设用地的，应当在土地利用年度计划指标中优先予以安排”、“统筹利用闲置资源发展养老服务，相关职能部门应按程序依据规划调整其土地使用性质”等优惠政策，而在《办法》第二十九条中的优惠政策规定中并没有土地政策的相关内容，可以在《办法》中加入相关规定。</w:t>
      </w:r>
    </w:p>
    <w:p>
      <w:pPr>
        <w:spacing w:line="300" w:lineRule="auto"/>
        <w:ind w:firstLine="480" w:firstLineChars="200"/>
      </w:pPr>
      <w:r>
        <w:rPr>
          <w:rFonts w:hint="eastAsia"/>
        </w:rPr>
        <w:t>第五，《意见》提出“对参加养老服务技能培训或创业培训且培训合格的劳动者，按规定给予培训补贴”，为进行相应的政策完善，可以考虑做进一步添加，在《办法》的第二十九条中加以体现。</w:t>
      </w:r>
    </w:p>
    <w:p>
      <w:pPr>
        <w:spacing w:line="300" w:lineRule="auto"/>
        <w:ind w:firstLine="480" w:firstLineChars="200"/>
      </w:pPr>
      <w:r>
        <w:rPr>
          <w:rFonts w:hint="eastAsia"/>
        </w:rPr>
        <w:t>综上所述，《办法》在立法内容合法性评估方面，基本符合《宪法》、《老年人权益保障法》、《养老机构设立许可办法》、《养老机构管理办法》、《社会福利机构管理暂行办法》、《湖北省政府办公厅关于全面放开养老服务市场提升养老服务质量的实施意见》等相关上位法的要求，但也存在部分制度规定不全面、制度衔接不充分的问题，应当做出修正。</w:t>
      </w:r>
    </w:p>
    <w:p>
      <w:pPr>
        <w:spacing w:line="300" w:lineRule="auto"/>
        <w:ind w:firstLine="480" w:firstLineChars="200"/>
      </w:pPr>
      <w:r>
        <w:rPr>
          <w:rFonts w:hint="eastAsia"/>
        </w:rPr>
        <w:t>（三）立法技术规范评估</w:t>
      </w:r>
    </w:p>
    <w:p>
      <w:pPr>
        <w:spacing w:line="300" w:lineRule="auto"/>
        <w:ind w:firstLine="480" w:firstLineChars="200"/>
      </w:pPr>
      <w:r>
        <w:rPr>
          <w:rFonts w:hint="eastAsia"/>
        </w:rPr>
        <w:t>由于立法较早，伴着新的立法技术规范出台，《办法》在技术规范上也有一些需要纠正的地方。</w:t>
      </w:r>
    </w:p>
    <w:p>
      <w:pPr>
        <w:spacing w:line="300" w:lineRule="auto"/>
        <w:ind w:firstLine="480" w:firstLineChars="200"/>
      </w:pPr>
      <w:r>
        <w:t>1.</w:t>
      </w:r>
      <w:r>
        <w:rPr>
          <w:rFonts w:hint="eastAsia"/>
        </w:rPr>
        <w:t>名称</w:t>
      </w:r>
    </w:p>
    <w:p>
      <w:pPr>
        <w:spacing w:line="300" w:lineRule="auto"/>
        <w:ind w:firstLine="480" w:firstLineChars="200"/>
      </w:pPr>
      <w:r>
        <w:rPr>
          <w:rFonts w:hint="eastAsia"/>
        </w:rPr>
        <w:t>地方政府规章的名称应当准确完整、简洁明了的表述规章的中心和内容，规章的名称一般称为规定、办法，不得称为条例，《办法》的名称符合要求，但是《办法》中规定的不仅有非营利性养老机构还有营利性养老机构，为了更准确的表达《办法》的内容，《武汉市社会办养老福利机构管理办法》中“福利”一词可以考虑予以删去。</w:t>
      </w:r>
      <w:r>
        <w:t xml:space="preserve"> </w:t>
      </w:r>
    </w:p>
    <w:p>
      <w:pPr>
        <w:spacing w:line="300" w:lineRule="auto"/>
        <w:ind w:firstLine="480" w:firstLineChars="200"/>
      </w:pPr>
      <w:r>
        <w:t>2.</w:t>
      </w:r>
      <w:r>
        <w:rPr>
          <w:rFonts w:hint="eastAsia"/>
        </w:rPr>
        <w:t>结构</w:t>
      </w:r>
    </w:p>
    <w:p>
      <w:pPr>
        <w:spacing w:line="300" w:lineRule="auto"/>
        <w:ind w:firstLine="480" w:firstLineChars="200"/>
      </w:pPr>
      <w:r>
        <w:rPr>
          <w:rFonts w:hint="eastAsia"/>
        </w:rPr>
        <w:t>地方政府规章的结构指规章的组成部分的排列、组合、内容、形式以及相互之间的关系。《办法》是我国出台时间较早的关于社会办养老机构的立法举措，其立法框架具有一定的开创性，但随着社会办养老机构管理研究和实践的不断深入，尤其是《养老机构设立许可办法》和《养老机构管理办法》的出台，《办法》立法结构的完善很有必要。</w:t>
      </w:r>
    </w:p>
    <w:p>
      <w:pPr>
        <w:spacing w:line="300" w:lineRule="auto"/>
        <w:ind w:firstLine="480" w:firstLineChars="200"/>
      </w:pPr>
      <w:r>
        <w:rPr>
          <w:rFonts w:hint="eastAsia"/>
        </w:rPr>
        <w:t>第一，《办法》分为总则、机构设立、运营规范、资助扶持、监督管理、法律责任、附则共七章。其中“监督管理”和“法律责任”两章对社会办养老机构在申请设立、运营以及接受资助过程中的违法性行为进行了一体性的列举规定，如第五章“监督管理”第三十四条“对检查和评价不合格的社会办养老福利机构，由所在地区民政部门下达限期整改通知；逾期不整改或者整改后仍不合格的，暂停其享受的有关优惠政策。”第三十七条“对不符合要求的依法责令其限期整改，逾期不整改的或者整改不合格的，不予通过年度检查并撤销其《社会福利机构设置批准证书》，属于非营利性的，由民政部门依法撤销其《民办非企业单位登记证书》；属于营利性的，移送工商部门依法处理。”以及第三十八条“经整改仍不合格的，撤销其《社会福利机构设置批准证书》，属于非营利性的，由民政部门依法撤销其《民办非企业单位登记证书》；属于营利性的，移送工商部门依法处理。</w:t>
      </w:r>
      <w:r>
        <w:t>”</w:t>
      </w:r>
      <w:r>
        <w:rPr>
          <w:rFonts w:hint="eastAsia"/>
        </w:rPr>
        <w:t>这三个条款对行为设定了责任，一个是“暂停优惠政策”，另外两个是“撤销《社会福利机构设置批准证书》”，但是在“法律责任”一章第四十一条和第四十二条分别就“撤销《社会福利机构设置批准证书》”和“终止享受资助资格”两种责任形式对行为进行了列举，这两部分的统一性存在一定问题。</w:t>
      </w:r>
    </w:p>
    <w:p>
      <w:pPr>
        <w:spacing w:line="300" w:lineRule="auto"/>
        <w:ind w:firstLine="480" w:firstLineChars="200"/>
      </w:pPr>
      <w:r>
        <w:rPr>
          <w:rFonts w:hint="eastAsia"/>
        </w:rPr>
        <w:t>第二，《养老机构设立许可办法》和《养老机构管理办法》分别以就“申请许可”和“运营管理”两部分的法律责任进行了行为的列举，具体而富有针对性，更具有合理性，值得《办法》在修改中予以借鉴。</w:t>
      </w:r>
    </w:p>
    <w:p>
      <w:pPr>
        <w:spacing w:line="300" w:lineRule="auto"/>
        <w:ind w:firstLine="480" w:firstLineChars="200"/>
      </w:pPr>
      <w:r>
        <w:t>3.</w:t>
      </w:r>
      <w:r>
        <w:rPr>
          <w:rFonts w:hint="eastAsia"/>
        </w:rPr>
        <w:t>逻辑</w:t>
      </w:r>
    </w:p>
    <w:p>
      <w:pPr>
        <w:spacing w:line="300" w:lineRule="auto"/>
        <w:ind w:firstLine="480" w:firstLineChars="200"/>
      </w:pPr>
      <w:r>
        <w:rPr>
          <w:rFonts w:hint="eastAsia"/>
        </w:rPr>
        <w:t>《办法》整体而言逻辑比较清晰合理，但也存在一些问题，具体如下所述：</w:t>
      </w:r>
    </w:p>
    <w:p>
      <w:pPr>
        <w:spacing w:line="300" w:lineRule="auto"/>
        <w:ind w:firstLine="480" w:firstLineChars="200"/>
      </w:pPr>
      <w:r>
        <w:rPr>
          <w:rFonts w:hint="eastAsia"/>
        </w:rPr>
        <w:t>第一，《办法》在第二十二条第二款规定“社会办养老福利机构不得擅自改变其主要场地和设施的用途。”其后又在第三十五条中规定“国土规划、民政等部门应当加强对社会办养老福利机构在场地和设施使用等方面的监督检查，对擅自改变场地使用性质和设施用途的，按照有关法律、法规、规章的规定处理。</w:t>
      </w:r>
      <w:r>
        <w:t>”</w:t>
      </w:r>
      <w:r>
        <w:rPr>
          <w:rFonts w:hint="eastAsia"/>
        </w:rPr>
        <w:t>两个条款之间存在重复规定的问题，需要进一步斟酌。</w:t>
      </w:r>
    </w:p>
    <w:p>
      <w:pPr>
        <w:spacing w:line="300" w:lineRule="auto"/>
        <w:ind w:firstLine="480" w:firstLineChars="200"/>
      </w:pPr>
      <w:r>
        <w:rPr>
          <w:rFonts w:hint="eastAsia"/>
        </w:rPr>
        <w:t>第二，《办法》在第三十四条第一款规定“民政部门应当加强对社会办养老福利机构的监督检查，……对检查和评价不合格的社会办养老福利机构，由所在地区民政部门下达限期整改通知；逾期不整改或者整改后仍不合格的，暂停其享受的有关优惠政策。”暂停优惠政策后，养老机构的发展状况肯定会变得更差，老人们的生活待遇恐怕更没有保障，但该条对暂停优惠政策之后养老机构的该如何管理的问题没有予以回应，亟待完善相关规定。</w:t>
      </w:r>
    </w:p>
    <w:p>
      <w:pPr>
        <w:spacing w:line="300" w:lineRule="auto"/>
        <w:ind w:firstLine="480" w:firstLineChars="200"/>
      </w:pPr>
      <w:r>
        <w:t>4.</w:t>
      </w:r>
      <w:r>
        <w:rPr>
          <w:rFonts w:hint="eastAsia"/>
        </w:rPr>
        <w:t>语言</w:t>
      </w:r>
    </w:p>
    <w:p>
      <w:pPr>
        <w:spacing w:line="300" w:lineRule="auto"/>
        <w:ind w:firstLine="480" w:firstLineChars="200"/>
      </w:pPr>
      <w:r>
        <w:rPr>
          <w:rFonts w:hint="eastAsia"/>
        </w:rPr>
        <w:t>《办法》的立法语言非常规范，但是其严谨度有所欠缺，可以予以适当补正。</w:t>
      </w:r>
    </w:p>
    <w:p>
      <w:pPr>
        <w:spacing w:line="300" w:lineRule="auto"/>
        <w:ind w:firstLine="480" w:firstLineChars="200"/>
      </w:pPr>
      <w:r>
        <w:rPr>
          <w:rFonts w:hint="eastAsia"/>
        </w:rPr>
        <w:t>第一，《办法》在第十五条中规定“对一并申请办理养老福利机构设置批准和民办非企业单位登记的，……符合条件的，一并核发《社会福利机构设置批准证书》和《民办非企业单位登记证书》；不符合条件的，不予核发、登记并书面说明理由。”“不予核发、登记”和前文的“一并核发”不能形成一一对应的关系，可以进行适当调整。</w:t>
      </w:r>
    </w:p>
    <w:p>
      <w:pPr>
        <w:spacing w:line="300" w:lineRule="auto"/>
        <w:ind w:firstLine="480" w:firstLineChars="200"/>
      </w:pPr>
      <w:r>
        <w:rPr>
          <w:rFonts w:hint="eastAsia"/>
        </w:rPr>
        <w:t>第二，《办法》在第三十七条中规定“区民政部门应当按照国家规定对辖区内社会办养老福利机构的《社会福利机构设置批准证书》进行年度检查。对不符合要求的依法责令其限期整改，逾期不整改的或者整改不合格的，不予通过年度检查并撤销其《社会福利机构设置批准证书》，属于非营利性的，由民政部门依法撤销其《民办非企业单位登记证书》；属于营利性的，移送工商部门依法处理。”该条中“年度检查”的对象不明确，若为“《社会福利机构设置批准证书》”，那什么是不符合要求的情形，又为何“撤销其《社会福利机构设置批准证书》”，该条文的内容存在表述不清的问题，容易引发歧义，可以进行相应的修改。</w:t>
      </w:r>
    </w:p>
    <w:p>
      <w:pPr>
        <w:spacing w:line="300" w:lineRule="auto"/>
        <w:ind w:firstLine="480" w:firstLineChars="200"/>
      </w:pPr>
      <w:r>
        <w:rPr>
          <w:rFonts w:hint="eastAsia"/>
        </w:rPr>
        <w:t>第三，《办法》还存在一些比较模糊的规定，比如：第一条“根据有关法律、法规，结合本市实际，制定本办法”、第十七条“按照申请设立和登记的有关程序，向有关部门提出申请并经批准”以及第三十五条“对擅自改变场地使用性质和设施用途的，按照有关法律、法规、规章的规定处理”和第四十条“违反本办法，法律、法规有处罚规定的，从其规定”，这些规定都存在着具体表述不清晰的问题，容易引发歧义，可以进行相应的修改，具体指出确切内容。</w:t>
      </w:r>
    </w:p>
    <w:p>
      <w:pPr>
        <w:spacing w:line="300" w:lineRule="auto"/>
        <w:ind w:firstLine="562" w:firstLineChars="200"/>
        <w:rPr>
          <w:b/>
          <w:bCs/>
          <w:sz w:val="28"/>
          <w:szCs w:val="28"/>
        </w:rPr>
      </w:pPr>
      <w:r>
        <w:rPr>
          <w:rFonts w:hint="eastAsia"/>
          <w:b/>
          <w:bCs/>
          <w:sz w:val="28"/>
          <w:szCs w:val="28"/>
        </w:rPr>
        <w:t>二、成本收益评估</w:t>
      </w:r>
    </w:p>
    <w:p>
      <w:pPr>
        <w:spacing w:line="300" w:lineRule="auto"/>
        <w:ind w:firstLine="480" w:firstLineChars="200"/>
      </w:pPr>
      <w:r>
        <w:rPr>
          <w:rFonts w:hint="eastAsia"/>
        </w:rPr>
        <w:t>（一）信息完备性评估</w:t>
      </w:r>
    </w:p>
    <w:p>
      <w:pPr>
        <w:spacing w:line="300" w:lineRule="auto"/>
        <w:ind w:firstLine="480" w:firstLineChars="200"/>
      </w:pPr>
      <w:r>
        <w:rPr>
          <w:rFonts w:hint="eastAsia"/>
        </w:rPr>
        <w:t>本《办法》是为促进武汉市的社会办养老事业全面发展而制定，管理规制之中含有大量的资助扶持的规定，具有维护老年人权益的正当性目的，非常有必要性。我国已进入老龄化社会，当前呈现出老年人口基数大、增长快的特征，其中高龄化、空巢化现象明显，需要照料的失能、半失能老人数量急剧增加。单纯依赖政府投资兴办养老机构以及传统的家庭养老已不再现实，社会办养老机构的发展具有现实必要性。而且社会办养老机构有自身的优势：首先，相比公办养老机构而言，社会办养老机构具有较强的市场竞争意识，这种意识会促使其不断降低成本、提高效益，发展更具可持续性；其次，社会办养老机构管理手段更为多元、经营策略更为灵活，发展更具适应性；最后，社会办养老机构对利润更为重视，会更为主动与积极地寻找养老服务空间以获取更高利润，有利于提供更为多元的养老服务。但是，由于我国社会办养老机构为新兴产业，因此也会存在发展问题，例如：普遍存在价格失衡、恶性竞争等问题，同时在盈利动机的刺激下，养老机构的投资者和管理者完全可能为实现利益最大化而违背养老机构的宗旨，从而违反法律和政策的规定进行违规操作，大大增加养老机构的经营风险。此外，接受养老服务的老年人，其身体的各项机能也在不断退化。因此，在养老服务关系中，养老服务接受者处于完全弱势的地位，他们的权利，甚至生命健康权都可能受到侵害。由于信息不对称，其亲属对于老人在养老机构中的实际情况难以完全知晓，即使事后知道，老人的利益也己经受到损害。正是因为存在以上“乱象”，才催生了《办法》对社会办养老机构的严厉监管的规制逻辑。</w:t>
      </w:r>
    </w:p>
    <w:p>
      <w:pPr>
        <w:spacing w:line="300" w:lineRule="auto"/>
        <w:ind w:firstLine="480" w:firstLineChars="200"/>
      </w:pPr>
      <w:r>
        <w:rPr>
          <w:rFonts w:hint="eastAsia"/>
        </w:rPr>
        <w:t>因此，本《办法》具有必要性、信息预期性和可控性。</w:t>
      </w:r>
    </w:p>
    <w:p>
      <w:pPr>
        <w:spacing w:line="300" w:lineRule="auto"/>
        <w:ind w:firstLine="480" w:firstLineChars="200"/>
      </w:pPr>
      <w:r>
        <w:rPr>
          <w:rFonts w:hint="eastAsia"/>
        </w:rPr>
        <w:t>（二）经济效益性评估</w:t>
      </w:r>
    </w:p>
    <w:p>
      <w:pPr>
        <w:spacing w:line="300" w:lineRule="auto"/>
        <w:ind w:firstLine="480" w:firstLineChars="200"/>
      </w:pPr>
      <w:r>
        <w:rPr>
          <w:rFonts w:hint="eastAsia"/>
        </w:rPr>
        <w:t>收益：建立起强力的社会办养老机构监管体系，有效维护了接受养老服务老人的权益。</w:t>
      </w:r>
    </w:p>
    <w:p>
      <w:pPr>
        <w:spacing w:line="300" w:lineRule="auto"/>
        <w:ind w:firstLine="480" w:firstLineChars="200"/>
      </w:pPr>
      <w:r>
        <w:t>1</w:t>
      </w:r>
      <w:r>
        <w:rPr>
          <w:rFonts w:hint="eastAsia"/>
        </w:rPr>
        <w:t>．《办法》对社会办养老机构的监管有助于规范养老市场高效、稳健地运行，通过对不合法行为的约束，推动了养老产业市场化的规范化运作，也为老年人养老方式多元化的选择提供了保障。</w:t>
      </w:r>
    </w:p>
    <w:p>
      <w:pPr>
        <w:spacing w:line="300" w:lineRule="auto"/>
        <w:ind w:firstLine="480" w:firstLineChars="200"/>
      </w:pPr>
      <w:r>
        <w:t>2</w:t>
      </w:r>
      <w:r>
        <w:rPr>
          <w:rFonts w:hint="eastAsia"/>
        </w:rPr>
        <w:t>．《办法》强化社会办养老机构的监管，完善市场信息公开，避免了由于市场调节失灵给社会办养老机构带来的困境，同时也避免给家庭带来负担，在保障了老年人养老安全的同时也促进了社会的和谐发展。</w:t>
      </w:r>
    </w:p>
    <w:p>
      <w:pPr>
        <w:spacing w:line="300" w:lineRule="auto"/>
        <w:ind w:firstLine="480" w:firstLineChars="200"/>
      </w:pPr>
      <w:r>
        <w:t>3</w:t>
      </w:r>
      <w:r>
        <w:rPr>
          <w:rFonts w:hint="eastAsia"/>
        </w:rPr>
        <w:t>．《办法》中民政、公安消防、物价、工商、食品卫生等政府机关和社会组织依法对社会办养老机构在准入、经营和退出等环节加强监督和管理，促使社会办养老机构的经营者完全达到开办养老机构应该具备的条件，严格按照国家法律、政策和标准进行经营管理，按照规定程序和方式有序准入和退出，这将会有效地促社会办养老机构规范自己的行为，确保所提供的养老服务达到规定或约定的要求。</w:t>
      </w:r>
    </w:p>
    <w:p>
      <w:pPr>
        <w:spacing w:line="300" w:lineRule="auto"/>
        <w:ind w:firstLine="480" w:firstLineChars="200"/>
      </w:pPr>
      <w:r>
        <w:rPr>
          <w:rFonts w:hint="eastAsia"/>
        </w:rPr>
        <w:t>成本：个别规定的要求难以落实，守法成本过高，将消耗一定的社会资源。</w:t>
      </w:r>
    </w:p>
    <w:p>
      <w:pPr>
        <w:spacing w:line="300" w:lineRule="auto"/>
        <w:ind w:firstLine="480" w:firstLineChars="200"/>
      </w:pPr>
      <w:r>
        <w:t>1.</w:t>
      </w:r>
      <w:r>
        <w:rPr>
          <w:rFonts w:hint="eastAsia"/>
        </w:rPr>
        <w:t>《办法》第二十七条规定“社会办养老福利机构的卫生技术、生活护理、财务、炊事等工作人员应当具有岗位技术等级或者执业技术资格证书和执业证书。社会办养老福利机构申请设立的医疗机构（含康复医疗机构），其医护人员应当具有相应的执业技术资格证书和执业证书。”该款中对医疗机构中医务人员的资格证书和职业证书要求是合理的。但是对卫生技术、生活护理、财务、炊事等工作人员都要求有岗位技术等级或者执业技术资格证书和执业证书，现实中有些不合理。通过问卷调查的统计结果可知（如</w:t>
      </w:r>
      <w:r>
        <w:rPr>
          <w:rFonts w:hint="eastAsia" w:ascii="Times New Roman" w:hAnsi="Times New Roman" w:eastAsia="宋体" w:cs="Times New Roman"/>
          <w:bCs/>
          <w:kern w:val="0"/>
        </w:rPr>
        <w:t>表</w:t>
      </w:r>
      <w:r>
        <w:rPr>
          <w:rFonts w:ascii="Times New Roman" w:hAnsi="Times New Roman" w:eastAsia="宋体" w:cs="Times New Roman"/>
          <w:bCs/>
          <w:kern w:val="0"/>
        </w:rPr>
        <w:t>5.48</w:t>
      </w:r>
      <w:r>
        <w:rPr>
          <w:rFonts w:hint="eastAsia"/>
        </w:rPr>
        <w:t>所示），认为这一条款实施效果不理想的人们占了总调查人数的</w:t>
      </w:r>
      <w:r>
        <w:t>24%</w:t>
      </w:r>
      <w:r>
        <w:rPr>
          <w:rFonts w:hint="eastAsia"/>
        </w:rPr>
        <w:t>，可见该规定存在一定问题。原因在于：第一，卫生技术、财务业务的职业资格考试种类多样，一定程度上可以满足需求，但是生活护理和炊事业务的国家级、省级考试频次较少，而且通过难度大，每年合格的专业人才数量远远不能满足需求，数量稀少就会导致用工价格较高，而大部分社会办养老机构无法支付，因此养老机构管理者的守法动力就会严重不足，现实中多采取雇佣社会闲散劳动力来解决人手不足的问题，但如此一来又导致因无法满足《办法》中的要求而受到监管部门的的查处，耗费了较多的执法资源却无法改变现状，造成社会资源的浪费。</w:t>
      </w:r>
    </w:p>
    <w:p>
      <w:pPr>
        <w:spacing w:line="300" w:lineRule="auto"/>
        <w:ind w:firstLine="480" w:firstLineChars="200"/>
      </w:pPr>
      <w:r>
        <w:t>2.</w:t>
      </w:r>
      <w:r>
        <w:rPr>
          <w:rFonts w:hint="eastAsia"/>
        </w:rPr>
        <w:t>《办法》第十一条规定了设立条件：“（一）有名称、住所、机构章程和管理制度……（六）法律、法规规定的其他条件”（</w:t>
      </w:r>
      <w:r>
        <w:t>2017</w:t>
      </w:r>
      <w:r>
        <w:rPr>
          <w:rFonts w:hint="eastAsia"/>
        </w:rPr>
        <w:t>年</w:t>
      </w:r>
      <w:r>
        <w:t>10</w:t>
      </w:r>
      <w:r>
        <w:rPr>
          <w:rFonts w:hint="eastAsia"/>
        </w:rPr>
        <w:t>月</w:t>
      </w:r>
      <w:r>
        <w:t>28</w:t>
      </w:r>
      <w:r>
        <w:rPr>
          <w:rFonts w:hint="eastAsia"/>
        </w:rPr>
        <w:t>日修改后实施的新规定），第十二条规定了筹建申请需要提供的材料：“（一）申请书、可行性研究报告；（二）申办人的身份证明文件；（三）资金来源的证明文件；（四）服务场所的权属证明文件；（五）民办非企业单位名称预先核准通知书或者企业名称预先核准通知书；（六）国家、省规定的其他材料。”第十三条规定了筹建申请的受理：“区民政部门应当自受理申请之日起</w:t>
      </w:r>
      <w:r>
        <w:t>10</w:t>
      </w:r>
      <w:r>
        <w:rPr>
          <w:rFonts w:hint="eastAsia"/>
        </w:rPr>
        <w:t>个工作日内，作出是否批准筹建的决定。符合条件的，核发《社会福利机构筹建批复书》（以下简称《批复书》），不符合条件的，说明理由并书面告知申办人。”相比较于</w:t>
      </w:r>
      <w:r>
        <w:t>2017</w:t>
      </w:r>
      <w:r>
        <w:rPr>
          <w:rFonts w:hint="eastAsia"/>
        </w:rPr>
        <w:t>年修改前的《办法》，武汉市社会办养老机构的设立条件进一步放宽，但仍然存在设立门槛较高的问题。事实上，有些社会办非营利养老机构达不到武汉市民政部门《办法》规定的条件，但是能正常开展活动且符合经济社会发展需要，而且对提供养老服务起到了举足轻重的作用，例如老年日间照料中心一般设置在社区内，虽然资金短缺，条件相对简陋，但是提供的服务简单方便，被周围老人肯定和接纳。而且在办理登记管理过程中实行一票否决制，即只要有一项材料不齐全，登记管理工作就不得不中断，导致办理养老机构许可手续繁复，过程棘手，一旦失败就得从头再来，成本颇高。因此《办法》虽然在市场准入上设置的严格条件为社会办养老机构的安全运行提供了保障，但是过高的门槛对很多现有的社会办非营利养老机构而言却是很高的守法成本，若这些机构被取缔，既是社会资源的极大浪费，也不利于维护老年人的基本权益。</w:t>
      </w:r>
    </w:p>
    <w:p>
      <w:pPr>
        <w:spacing w:line="300" w:lineRule="auto"/>
        <w:ind w:firstLine="480" w:firstLineChars="200"/>
      </w:pPr>
      <w:r>
        <w:t>3.</w:t>
      </w:r>
      <w:r>
        <w:rPr>
          <w:rFonts w:hint="eastAsia"/>
        </w:rPr>
        <w:t>《办法》第三十三条规定：“社会办养老福利机构应当按照民政部门规定的条件和时间向所在地区民政部门提出资助申请。区民政部门按照资助条件对申请资助的机构进行初审，将符合资助条件的申请材料报送市民政部门。市民政部门在区民政部门初审的基础上，对申请材料进行审定，会同相关部门进行实地核查，符合条件的，转请财政部门给予资助。”该规定对资助申请的程序条件要求较为严苛，不仅难以扩大有需求的社会办养老机构的受资助范围，而且随着机构数量的增加，也会给市、区两级行政部门的工作带来较大的负担，成本偏高，因此建议将此条修改为原则性的规定即“社会办养老福利机构应当按照民政部门规定的条件和时间向所在地区民政部门提出资助申请”。</w:t>
      </w:r>
    </w:p>
    <w:p>
      <w:pPr>
        <w:spacing w:line="300" w:lineRule="auto"/>
        <w:ind w:firstLine="480" w:firstLineChars="200"/>
      </w:pPr>
      <w:r>
        <w:rPr>
          <w:rFonts w:hint="eastAsia"/>
        </w:rPr>
        <w:t>结论：对比收益和成本，本评估认为《办法》中对社会办养老机构的监管尽管收益大于成本，但成本仍然偏高，存在条件严苛，守法成本过高的问题。</w:t>
      </w:r>
    </w:p>
    <w:p>
      <w:pPr>
        <w:spacing w:line="300" w:lineRule="auto"/>
        <w:ind w:firstLine="480" w:firstLineChars="200"/>
      </w:pPr>
      <w:r>
        <w:rPr>
          <w:rFonts w:hint="eastAsia"/>
        </w:rPr>
        <w:t>（三）目的正当性评估</w:t>
      </w:r>
    </w:p>
    <w:p>
      <w:pPr>
        <w:spacing w:line="300" w:lineRule="auto"/>
        <w:ind w:firstLine="480" w:firstLineChars="200"/>
      </w:pPr>
      <w:r>
        <w:rPr>
          <w:rFonts w:hint="eastAsia"/>
        </w:rPr>
        <w:t>武汉市目前已形成多元化的社会办养老机构监督体系，监督主体众多，监督方式丰富。从理论上分析，这是一大优点。如《办法》中第五条、第六条分别规定“市民政部门是本市行政区域内的社会办养老福利机构的主管部门，负责本市社会办养老福利机构管理工作的指导、协调和监督管理。区民政部门具体负责本行政区域内社会办养老福利机构的批准、登记和管理工作。”“发展改革、国土规划、城乡建设、工商、物价、卫生、住房保障房管、水务、公安、食品药品监管、人力资源社会保障、城管、税务、财政、老龄工作等相关部门应当按照各自职责，做好社会办养老福利机构的管理工作。”第三十四条进一步规定：“工商部门应当加强对营利性社会办养老福利机构运营服务的监督检查；公安部门应当加强对社会办养老福利机构消防和内部治安的监督检查；物价部门应当加强对社会办养老福利机构价格和收费的监督检查；卫生部门应当加强对社会办养老福利机构及其设立的医疗机构（含康复医疗机构）的监督检查。”由此可知，民政部门是民办养老院的监督管理机关，另外，其他有关部门也依照职责分工对养老机构实施监督，如工商部门、公安部门、卫生部门、物价部门等等。可以看出，武汉市对社会办养老院的监管活动呈现“一家为主，多头管理”的监管格局。这两条的规定是出于养老机构管理工作的全面性考虑，充分调动各部门为建立良好的社会办养老机构运行机制服务，具有规范社会办养老机构管理、促进社会养老福利事业发展的正当性目的。因为养老机构对老人的照顾是生活化、全方位的，其运行过程中伴随着建筑建设、服务价格调整、用水用电、食品药品提供等各类具体事务的成本变化，仅靠民政部门独自监管不仅会面临着管不过来、不好管的困境，而且对于涉及其他部门管理的事务，若由民政部门与其他部门间接进行交管协调必然会导致效率低下，不利于良好的社会办养老机构管理机制的形成。因此，《办法》形成了多元管理的规制逻辑。</w:t>
      </w:r>
    </w:p>
    <w:p>
      <w:pPr>
        <w:spacing w:line="300" w:lineRule="auto"/>
        <w:ind w:firstLine="480" w:firstLineChars="200"/>
      </w:pPr>
      <w:r>
        <w:rPr>
          <w:rFonts w:hint="eastAsia"/>
        </w:rPr>
        <w:t>但是，多元管理实现其社会利益最大化的前提是，各部门间职责划分清晰、管理次序明确。从当前的规定来看各监督主体的监督范围与权限除了工商部门、公安部门、卫生部门、物价部门外并未得到详细的规定，这会导致相互间职能配置交叉重复，责任不清；而且在此之外，《办法》对各部门的监督运作过程中彼此之间如何沟通与联系也没有规定。本次评估设计的问卷第</w:t>
      </w:r>
      <w:r>
        <w:t>15</w:t>
      </w:r>
      <w:r>
        <w:rPr>
          <w:rFonts w:hint="eastAsia"/>
        </w:rPr>
        <w:t>题对《办法》第三十四条的实施效果进行了调查，由</w:t>
      </w:r>
      <w:r>
        <w:rPr>
          <w:rFonts w:hint="eastAsia" w:ascii="Times New Roman" w:hAnsi="Times New Roman" w:eastAsia="宋体" w:cs="Times New Roman"/>
          <w:bCs/>
          <w:kern w:val="0"/>
        </w:rPr>
        <w:t>表</w:t>
      </w:r>
      <w:r>
        <w:rPr>
          <w:rFonts w:ascii="Times New Roman" w:hAnsi="Times New Roman" w:eastAsia="宋体" w:cs="Times New Roman"/>
          <w:bCs/>
          <w:kern w:val="0"/>
        </w:rPr>
        <w:t>5.49</w:t>
      </w:r>
      <w:r>
        <w:rPr>
          <w:rFonts w:hint="eastAsia"/>
        </w:rPr>
        <w:t>可以看出，选择“很好”和“较好”所占的比重为</w:t>
      </w:r>
      <w:r>
        <w:t>49.88%</w:t>
      </w:r>
      <w:r>
        <w:rPr>
          <w:rFonts w:hint="eastAsia"/>
        </w:rPr>
        <w:t>，还不足</w:t>
      </w:r>
      <w:r>
        <w:t>50%</w:t>
      </w:r>
      <w:r>
        <w:rPr>
          <w:rFonts w:hint="eastAsia"/>
        </w:rPr>
        <w:t>，可以得出实施效果并不佳的结论。</w:t>
      </w:r>
    </w:p>
    <w:p>
      <w:pPr>
        <w:spacing w:line="300" w:lineRule="auto"/>
        <w:ind w:firstLine="480" w:firstLineChars="200"/>
      </w:pPr>
      <w:r>
        <w:rPr>
          <w:rFonts w:hint="eastAsia"/>
        </w:rPr>
        <w:t>总的来说，整个监督系统远未形成一个严整有序、分工合理、协调互动、运转高效的有机整体，现实中可能会存在不少的“监督重叠区”和“监督盲区”，造成部分问题多方插手、重复监督，浪费人力、物力，然则部分问题无人问津，尤其是对那些界限不清的事务，互相推诿、“踢皮球”，非但不能形成监督合力，反而还造成内耗，导致监督机制的弱化和公信力的丧失。这种监管格局可能会给社会办办养老机构活动主体设置多重门槛，无形中会增加社会办养老机构的设立成本，由此导致的重复监管也会大大降低管理效率，这些问题将阻碍《办法》社会利益最大化目标的实现。</w:t>
      </w:r>
    </w:p>
    <w:p>
      <w:pPr>
        <w:spacing w:line="300" w:lineRule="auto"/>
        <w:ind w:firstLine="480" w:firstLineChars="200"/>
      </w:pPr>
      <w:r>
        <w:rPr>
          <w:rFonts w:hint="eastAsia"/>
        </w:rPr>
        <w:t>因此，《办法》第五、六条的规定具有目的正当性，但是由于这一规定可能会导致监管边界不清、效率低下的问题，进而难以实现社会利益的最大化。</w:t>
      </w:r>
    </w:p>
    <w:p>
      <w:pPr>
        <w:spacing w:line="300" w:lineRule="auto"/>
        <w:ind w:firstLine="480" w:firstLineChars="200"/>
      </w:pPr>
      <w:r>
        <w:rPr>
          <w:rFonts w:hint="eastAsia"/>
        </w:rPr>
        <w:t>（四）最小化损害评估</w:t>
      </w:r>
    </w:p>
    <w:p>
      <w:pPr>
        <w:spacing w:line="300" w:lineRule="auto"/>
        <w:ind w:firstLine="480" w:firstLineChars="200"/>
      </w:pPr>
      <w:r>
        <w:rPr>
          <w:rFonts w:hint="eastAsia"/>
        </w:rPr>
        <w:t>《办法》第二十二条第二款规定：“社会办养老福利机构不得擅自改变其主要场地和设施的用途。”而且在第四十一条中规定：“擅自改变服务场地和设施用途的”由区民政部门依法撤销其《社会福利机构设置批准证书》。这条规定的立法目的一是防止养老机构为了营利而将公益场所或设备对社会进行公开，从而压缩居住老人接受服务的空间，二是擅自改变服务场地和设施用途会增加不可控的风险从而导致老人的安全问题无法保障。该规定一定程度上忽略了养老机构可能为了改善老人生活环境或方便机构运营管理而对现有服务场地和设施所做的调整。完全禁止养老机构对服务场所和设施的用途进行调整，并不利于养老机构为入住老人提供完善的服务。</w:t>
      </w:r>
    </w:p>
    <w:p>
      <w:pPr>
        <w:spacing w:line="300" w:lineRule="auto"/>
        <w:ind w:firstLine="480" w:firstLineChars="200"/>
      </w:pPr>
      <w:r>
        <w:rPr>
          <w:rFonts w:hint="eastAsia"/>
        </w:rPr>
        <w:t>本评估认为，《办法》应当对本部分内容进行细化，一方面要明确，社会办养老福利机构不得擅自将主要场地和设施用途用于非养老福利用途，以确保“专地专用”，另一方面，对于具体养老福利用地和设施的具体用途，应当采取养老机构和入住老人家属协商一致的方式对服务场所和设施的用途进行调整的规制方式，这样做既能在一定程度上防止养老机构的规避，也可以更好的满足老人们的现实需求。</w:t>
      </w:r>
    </w:p>
    <w:p>
      <w:pPr>
        <w:spacing w:line="300" w:lineRule="auto"/>
        <w:ind w:firstLine="480" w:firstLineChars="200"/>
      </w:pPr>
      <w:r>
        <w:rPr>
          <w:rFonts w:hint="eastAsia"/>
        </w:rPr>
        <w:t>（五）政策兼顾性评估</w:t>
      </w:r>
    </w:p>
    <w:p>
      <w:pPr>
        <w:spacing w:line="300" w:lineRule="auto"/>
        <w:ind w:firstLine="480" w:firstLineChars="200"/>
      </w:pPr>
      <w:r>
        <w:rPr>
          <w:rFonts w:hint="eastAsia"/>
        </w:rPr>
        <w:t>《办法》的实施与现行财政资源、立法资源和国民经济状况基本相符，从整体上看，《办法》符合政策兼顾性评估的基本要求。但考虑到现行财政资源状况，结合国民经济状况逐渐发展的背景，本评估认为，《办法》在政策兼顾性上仍存在以下瑕疵：</w:t>
      </w:r>
    </w:p>
    <w:p>
      <w:pPr>
        <w:spacing w:line="300" w:lineRule="auto"/>
        <w:ind w:firstLine="480" w:firstLineChars="200"/>
      </w:pPr>
      <w:r>
        <w:t>1.</w:t>
      </w:r>
      <w:r>
        <w:rPr>
          <w:rFonts w:hint="eastAsia"/>
        </w:rPr>
        <w:t>《办法》中规定的“取得《社会福利机构设置批准证书》和《民办非企业单位登记证书》的非营利性社会办养老福利机构，可以享受国家、省、市规定的下列优惠政策：……（四）吸纳符合公益性岗位条件的人员就业的，按照规定享受公益性岗位补贴；……”，该条对养老机构专业型人才的扶持并不足以适应现行社会办养老机构的发展，如前所述，《办法》第二十七条的规定：“社会办养老福利机构的卫生技术、生活护理、财务、炊事等工作人员应当具有岗位技术等级或者执业技术资格证书和执业证书。”在现实中难以落实，事实上主要原因在于各地政府对养老机构工作人员的发展状况不太关注，虽然第二十八条规定了“社会办养老福利机构应当定期组织工作人员进行职业道德教育和业务培训，提高工作人员职业素质和业务技能。”但还是将养老机构工作人员发展成本落在了养老机构的身上，养老机构工作人员的专业素养与老人的生活质量息息相关，政府应对此提供一定的帮助，此前工作人员的薪酬普遍较低，难以跟上武汉市的经济发展水平，很难激励人们积极从业，如果政府能对获得相关资质证书从事养老服务工作的人员发放一定的补贴，一定会使相关人才获取资质证书的热情大涨，在此需求下，资格考试的频次也一定会增加，专业人才队伍也将不断壮大，社会办养老机构的老人们生活质量自然也会水涨船高，如此一来武汉市养老事业蓬勃发展，老年人权益也将得到极大的保障。</w:t>
      </w:r>
    </w:p>
    <w:p>
      <w:pPr>
        <w:spacing w:line="300" w:lineRule="auto"/>
        <w:ind w:firstLine="480" w:firstLineChars="200"/>
      </w:pPr>
      <w:r>
        <w:t>2.</w:t>
      </w:r>
      <w:r>
        <w:rPr>
          <w:rFonts w:hint="eastAsia"/>
        </w:rPr>
        <w:t>《办法》里规制的对象有两种，营利性养老机构和非营利性养老机构，其中非营利性社会办养老机构根据第二十九条、三十二条的规定既享有一系列优惠政策又可以按照不同的等级标准申请资金资助，但营利性养老机构却没有相关待遇，但是养老机构由于其运营手段单一，短期盈利难度大，导致现实中营利性养老机构数量稀少，即使有也为了弥补成本、实现盈利而制定了相当高的服务价格，普通老人难以承受，不利于社会办养老事业的市场发展，因此，《办法》应在“资助扶持”一章中适当加进对营利性养老机构的优惠政策或资金资助。</w:t>
      </w:r>
    </w:p>
    <w:p>
      <w:pPr>
        <w:spacing w:line="300" w:lineRule="auto"/>
        <w:ind w:firstLine="480" w:firstLineChars="200"/>
      </w:pPr>
      <w:r>
        <w:rPr>
          <w:rFonts w:hint="eastAsia"/>
        </w:rPr>
        <w:t>因此，《办法》在资助扶持方面存在一定的政策兼顾性瑕疵。</w:t>
      </w:r>
    </w:p>
    <w:p>
      <w:pPr>
        <w:spacing w:line="300" w:lineRule="auto"/>
        <w:ind w:firstLine="562" w:firstLineChars="200"/>
        <w:rPr>
          <w:b/>
          <w:bCs/>
          <w:sz w:val="28"/>
          <w:szCs w:val="28"/>
        </w:rPr>
      </w:pPr>
      <w:r>
        <w:rPr>
          <w:rFonts w:hint="eastAsia"/>
          <w:b/>
          <w:bCs/>
          <w:sz w:val="28"/>
          <w:szCs w:val="28"/>
        </w:rPr>
        <w:t>三、竞争专项评估</w:t>
      </w:r>
    </w:p>
    <w:p>
      <w:pPr>
        <w:spacing w:line="300" w:lineRule="auto"/>
        <w:ind w:firstLine="480" w:firstLineChars="200"/>
      </w:pPr>
      <w:r>
        <w:rPr>
          <w:rFonts w:hint="eastAsia"/>
        </w:rPr>
        <w:t>（一）市场准入和退出标准评估</w:t>
      </w:r>
    </w:p>
    <w:p>
      <w:pPr>
        <w:spacing w:line="300" w:lineRule="auto"/>
        <w:ind w:firstLine="480" w:firstLineChars="200"/>
        <w:rPr>
          <w:color w:val="FF0000"/>
        </w:rPr>
      </w:pPr>
      <w:r>
        <w:rPr>
          <w:rFonts w:hint="eastAsia"/>
        </w:rPr>
        <w:t>《办法》通过设立程序的规范，设置了社会办养老机构的准入标准和退出标准，市场准入和退出标准的评估是竞争专项评估的基本门槛，但是《办法》中这两项标准不属于歧视性的准入和退出标准，《办法》并未设置明显不必要或者超出实际需要的准入和退出条件，排斥或者限制经营者参与市场竞争，也未设定或者变相设定市场准入障碍，同时《办法》没有涉及特许经营权的授予问题，并未出现在一般竞争性领域实施特许经营或以特许经营为名增设行政许可、未明确特许经营权期限或未经法定程序延长特许经营权期限、未采取招标投标、竞争性谈判等竞争方式，直接将特许经营权授予特定经营者等竞争性问题，未限定经营、购买、使用特定经营者提供的商品和服务，其审批或者具有行政审批性质的事前</w:t>
      </w:r>
      <w:r>
        <w:rPr>
          <w:rFonts w:hint="eastAsia"/>
          <w:color w:val="000000" w:themeColor="text1"/>
        </w:rPr>
        <w:t>备案程序都依照法律法规，并不是在没有法律法规依据或者国务院决定的情况下，采取禁止进入、限制经营范围和商业模式等方式，直接或者变相限制市场准入，所以该办法的市场准入和退出标准不存在竞争性瑕疵。</w:t>
      </w:r>
    </w:p>
    <w:p>
      <w:pPr>
        <w:spacing w:line="300" w:lineRule="auto"/>
        <w:ind w:firstLine="480" w:firstLineChars="200"/>
      </w:pPr>
      <w:r>
        <w:rPr>
          <w:rFonts w:hint="eastAsia"/>
        </w:rPr>
        <w:t>（二）商品和要素自由流动标准评估</w:t>
      </w:r>
    </w:p>
    <w:p>
      <w:pPr>
        <w:spacing w:line="300" w:lineRule="auto"/>
        <w:ind w:firstLine="480" w:firstLineChars="200"/>
      </w:pPr>
      <w:r>
        <w:rPr>
          <w:rFonts w:hint="eastAsia"/>
        </w:rPr>
        <w:t>《办法》给予了社会办养老机构较多的优惠及扶持政策，尽管更多的优惠及扶持政策针对武汉市社会办养老福利机构，为保障武汉市老人的合法权益，但是这些优惠政策规定并不是对外地和进口商品、服务实行的歧视性价格和歧视性补贴政策，没有限制养老服务市场的进入和输出，没有排斥、限制外地经营者的招标、投标活动和投资活动，也没有因此对外地养老院经营者产生歧视性待遇，没有排斥、限制或者强制外地经营者在本地投资或者设立分支机构所以该办法的商品和要素自由流动标准不存在竞争性瑕疵。</w:t>
      </w:r>
    </w:p>
    <w:p>
      <w:pPr>
        <w:spacing w:line="300" w:lineRule="auto"/>
        <w:ind w:firstLine="480" w:firstLineChars="200"/>
      </w:pPr>
      <w:r>
        <w:rPr>
          <w:rFonts w:hint="eastAsia"/>
        </w:rPr>
        <w:t>（三）影响生产经营成本标准评估</w:t>
      </w:r>
    </w:p>
    <w:p>
      <w:pPr>
        <w:spacing w:line="300" w:lineRule="auto"/>
        <w:ind w:firstLine="480" w:firstLineChars="200"/>
      </w:pPr>
      <w:bookmarkStart w:id="0" w:name="_Hlk516305675"/>
      <w:r>
        <w:rPr>
          <w:rFonts w:hint="eastAsia"/>
        </w:rPr>
        <w:t>《办法》</w:t>
      </w:r>
      <w:bookmarkEnd w:id="0"/>
      <w:r>
        <w:rPr>
          <w:rFonts w:hint="eastAsia"/>
        </w:rPr>
        <w:t>虽然给予了社会办养老机构较多的优惠，但是这些优惠及补贴政策符合国家、省、市的规定，《办法》第二十九条规定至第三十三条规定体现了对武汉市社会办养老福利机构的资助扶持，其规定了非营利性社会办养老福利机构所享有的国家、省、市的优惠政策，有关社会办养老福利机构设立的医疗机构聘用的卫生技术人员所享受的待遇，区民政部门要求的补贴条件，没有违法给予特定经营者优惠政策，《办法》并未涉及特定经营者，也未违法违规减免或者缓征特定经营者应当缴纳的社会保险费用，并未在法律规定之外要求经营者提供或扣留经营者各类保证金，不仅包括要求经营者交纳各类保证金，也包括在经营者履行相关程序或者完成相关事项后，不及时退还经营者交纳的保证金，而其他关于生产经营成本的标准规定并不违反或者涉及该项审查标准下的其他情形，所以该办法影响生产经营成本的标准不存在竞争性瑕疵。</w:t>
      </w:r>
    </w:p>
    <w:p>
      <w:pPr>
        <w:spacing w:line="300" w:lineRule="auto"/>
        <w:ind w:firstLine="480" w:firstLineChars="200"/>
      </w:pPr>
      <w:r>
        <w:rPr>
          <w:rFonts w:hint="eastAsia"/>
        </w:rPr>
        <w:t>（四）影响生产经营行为标准评估</w:t>
      </w:r>
    </w:p>
    <w:p>
      <w:pPr>
        <w:spacing w:line="300" w:lineRule="auto"/>
        <w:ind w:firstLine="480" w:firstLineChars="200"/>
      </w:pPr>
      <w:r>
        <w:rPr>
          <w:rFonts w:hint="eastAsia"/>
        </w:rPr>
        <w:t>《办法》虽然在监督管理方面制定了相关的信息公开制度，但是并不违反该项审查标准下的所有情形，《办法》没有强制经营者从事《中华人民共和国反垄断法》规定的垄断行为，并未违法披露或者违法要求经营者披露生产经营敏感信息，为经营者实施垄断行为提供便利条件，没有超越定价权限进行政府定价，没有违法干预实行市场调节价的商品和服务的价格水平，所以该办法影响生产经营的标准不存在竞争性瑕疵。</w:t>
      </w:r>
    </w:p>
    <w:p>
      <w:pPr>
        <w:spacing w:line="300" w:lineRule="auto"/>
        <w:ind w:firstLine="480" w:firstLineChars="200"/>
      </w:pPr>
      <w:r>
        <w:rPr>
          <w:rFonts w:hint="eastAsia"/>
        </w:rPr>
        <w:t>（五）例外性标准评估</w:t>
      </w:r>
    </w:p>
    <w:p>
      <w:pPr>
        <w:spacing w:line="300" w:lineRule="auto"/>
        <w:ind w:firstLine="480" w:firstLineChars="200"/>
      </w:pPr>
      <w:r>
        <w:rPr>
          <w:rFonts w:hint="eastAsia"/>
        </w:rPr>
        <w:t>结合前述市场准入和退出标准评估、商品和要素自由流动标准评估、影响生产经营成本标准评估、影响生产经营行为标准评估均不存在竞争性瑕疵，所以《办法》不存在竞争性瑕疵，故无需适用例外性标准来排除竞争性瑕疵。</w:t>
      </w:r>
    </w:p>
    <w:p>
      <w:pPr>
        <w:spacing w:line="300" w:lineRule="auto"/>
        <w:ind w:firstLine="480" w:firstLineChars="200"/>
      </w:pPr>
      <w:r>
        <w:rPr>
          <w:rFonts w:hint="eastAsia"/>
        </w:rPr>
        <w:t>综上，《办法》通过评估确定符合公平竞争专项评估标准。</w:t>
      </w:r>
    </w:p>
    <w:p>
      <w:pPr>
        <w:spacing w:line="300" w:lineRule="auto"/>
        <w:ind w:firstLine="562" w:firstLineChars="200"/>
        <w:rPr>
          <w:b/>
          <w:bCs/>
          <w:sz w:val="28"/>
          <w:szCs w:val="28"/>
        </w:rPr>
      </w:pPr>
      <w:r>
        <w:rPr>
          <w:rFonts w:hint="eastAsia"/>
          <w:b/>
          <w:bCs/>
          <w:sz w:val="28"/>
          <w:szCs w:val="28"/>
        </w:rPr>
        <w:t>四、实施效果评估</w:t>
      </w:r>
    </w:p>
    <w:p>
      <w:pPr>
        <w:spacing w:line="300" w:lineRule="auto"/>
        <w:ind w:firstLine="480" w:firstLineChars="200"/>
      </w:pPr>
      <w:r>
        <w:rPr>
          <w:rFonts w:hint="eastAsia"/>
        </w:rPr>
        <w:t>本次调研对实施效果的评估主要集中在三个方面，分别是立法的宣传贯彻制定情况，制度建设、执行情况以及配套性文件制定情况。</w:t>
      </w:r>
    </w:p>
    <w:p>
      <w:pPr>
        <w:spacing w:line="300" w:lineRule="auto"/>
        <w:ind w:firstLine="480" w:firstLineChars="200"/>
      </w:pPr>
      <w:r>
        <w:rPr>
          <w:rFonts w:hint="eastAsia"/>
        </w:rPr>
        <w:t>首先，调研小组到市民政局进行走访调研，了解《办法》的实施效果，主要针对以下几个方面。第一，《办法》立法至今所得成果。随着武汉市养老问题不断加重，</w:t>
      </w:r>
      <w:r>
        <w:t>2012</w:t>
      </w:r>
      <w:r>
        <w:rPr>
          <w:rFonts w:hint="eastAsia"/>
        </w:rPr>
        <w:t>年《办法》出台。从《办法》出台至今，武汉市社会办养老福利机构从</w:t>
      </w:r>
      <w:r>
        <w:t>139</w:t>
      </w:r>
      <w:r>
        <w:rPr>
          <w:rFonts w:hint="eastAsia"/>
        </w:rPr>
        <w:t>家增至</w:t>
      </w:r>
      <w:r>
        <w:t>284</w:t>
      </w:r>
      <w:r>
        <w:rPr>
          <w:rFonts w:hint="eastAsia"/>
        </w:rPr>
        <w:t>家。目前，我市已拥有各类养老机构</w:t>
      </w:r>
      <w:r>
        <w:t>284</w:t>
      </w:r>
      <w:r>
        <w:rPr>
          <w:rFonts w:hint="eastAsia"/>
        </w:rPr>
        <w:t>家，养老床位总数</w:t>
      </w:r>
      <w:r>
        <w:t>6.48</w:t>
      </w:r>
      <w:r>
        <w:rPr>
          <w:rFonts w:hint="eastAsia"/>
        </w:rPr>
        <w:t>万张，其中市区公办养老机构</w:t>
      </w:r>
      <w:r>
        <w:t>14</w:t>
      </w:r>
      <w:r>
        <w:rPr>
          <w:rFonts w:hint="eastAsia"/>
        </w:rPr>
        <w:t>家、床位</w:t>
      </w:r>
      <w:r>
        <w:t>1.06</w:t>
      </w:r>
      <w:r>
        <w:rPr>
          <w:rFonts w:hint="eastAsia"/>
        </w:rPr>
        <w:t>万张，农村福利院</w:t>
      </w:r>
      <w:r>
        <w:t>74</w:t>
      </w:r>
      <w:r>
        <w:rPr>
          <w:rFonts w:hint="eastAsia"/>
        </w:rPr>
        <w:t>家、床位</w:t>
      </w:r>
      <w:r>
        <w:t>8821</w:t>
      </w:r>
      <w:r>
        <w:rPr>
          <w:rFonts w:hint="eastAsia"/>
        </w:rPr>
        <w:t>张，社会办养老机构</w:t>
      </w:r>
      <w:r>
        <w:t>196</w:t>
      </w:r>
      <w:r>
        <w:rPr>
          <w:rFonts w:hint="eastAsia"/>
        </w:rPr>
        <w:t>家、床位</w:t>
      </w:r>
      <w:r>
        <w:t>2.79</w:t>
      </w:r>
      <w:r>
        <w:rPr>
          <w:rFonts w:hint="eastAsia"/>
        </w:rPr>
        <w:t>万张。社会办养老机构数量占全市养老机构总数的</w:t>
      </w:r>
      <w:r>
        <w:t>69.1%</w:t>
      </w:r>
      <w:r>
        <w:rPr>
          <w:rFonts w:hint="eastAsia"/>
        </w:rPr>
        <w:t>。其中</w:t>
      </w:r>
      <w:r>
        <w:t>2013</w:t>
      </w:r>
      <w:r>
        <w:rPr>
          <w:rFonts w:hint="eastAsia"/>
        </w:rPr>
        <w:t>年</w:t>
      </w:r>
      <w:r>
        <w:t>142</w:t>
      </w:r>
      <w:r>
        <w:rPr>
          <w:rFonts w:hint="eastAsia"/>
        </w:rPr>
        <w:t>家社会办养老机构、床位</w:t>
      </w:r>
      <w:r>
        <w:t>21269</w:t>
      </w:r>
      <w:r>
        <w:rPr>
          <w:rFonts w:hint="eastAsia"/>
        </w:rPr>
        <w:t>张，</w:t>
      </w:r>
      <w:r>
        <w:t>2014</w:t>
      </w:r>
      <w:r>
        <w:rPr>
          <w:rFonts w:hint="eastAsia"/>
        </w:rPr>
        <w:t>年</w:t>
      </w:r>
      <w:r>
        <w:t>192</w:t>
      </w:r>
      <w:r>
        <w:rPr>
          <w:rFonts w:hint="eastAsia"/>
        </w:rPr>
        <w:t>家社会办养老机构、床位</w:t>
      </w:r>
      <w:r>
        <w:t>25479</w:t>
      </w:r>
      <w:r>
        <w:rPr>
          <w:rFonts w:hint="eastAsia"/>
        </w:rPr>
        <w:t>张，</w:t>
      </w:r>
      <w:r>
        <w:t>2015</w:t>
      </w:r>
      <w:r>
        <w:rPr>
          <w:rFonts w:hint="eastAsia"/>
        </w:rPr>
        <w:t>年</w:t>
      </w:r>
      <w:r>
        <w:t>202</w:t>
      </w:r>
      <w:r>
        <w:rPr>
          <w:rFonts w:hint="eastAsia"/>
        </w:rPr>
        <w:t>家社会办养老机构、床位</w:t>
      </w:r>
      <w:r>
        <w:t>28279</w:t>
      </w:r>
      <w:r>
        <w:rPr>
          <w:rFonts w:hint="eastAsia"/>
        </w:rPr>
        <w:t>张，</w:t>
      </w:r>
      <w:r>
        <w:t>2016</w:t>
      </w:r>
      <w:r>
        <w:rPr>
          <w:rFonts w:hint="eastAsia"/>
        </w:rPr>
        <w:t>年</w:t>
      </w:r>
      <w:r>
        <w:t>207</w:t>
      </w:r>
      <w:r>
        <w:rPr>
          <w:rFonts w:hint="eastAsia"/>
        </w:rPr>
        <w:t>家社会办养老机构、床位</w:t>
      </w:r>
      <w:r>
        <w:t>29324</w:t>
      </w:r>
      <w:r>
        <w:rPr>
          <w:rFonts w:hint="eastAsia"/>
        </w:rPr>
        <w:t>张，</w:t>
      </w:r>
      <w:r>
        <w:t>2017</w:t>
      </w:r>
      <w:r>
        <w:rPr>
          <w:rFonts w:hint="eastAsia"/>
        </w:rPr>
        <w:t>年</w:t>
      </w:r>
      <w:r>
        <w:t>196</w:t>
      </w:r>
      <w:r>
        <w:rPr>
          <w:rFonts w:hint="eastAsia"/>
        </w:rPr>
        <w:t>家社会办养老机构、床位</w:t>
      </w:r>
      <w:r>
        <w:t>27900</w:t>
      </w:r>
      <w:r>
        <w:rPr>
          <w:rFonts w:hint="eastAsia"/>
        </w:rPr>
        <w:t>张，床位利用率不断提高。就政府下拨补贴资金的情况来看，武汉市委、市政府非常关心养老服务体系建设，逐年加大投入力度。</w:t>
      </w:r>
      <w:r>
        <w:t>2012</w:t>
      </w:r>
      <w:r>
        <w:rPr>
          <w:rFonts w:hint="eastAsia"/>
        </w:rPr>
        <w:t>年出台的《市人民政府关于加快推进社会养老服务体系建设的意见》（武政</w:t>
      </w:r>
      <w:r>
        <w:t>[2012]</w:t>
      </w:r>
      <w:r>
        <w:rPr>
          <w:rFonts w:hint="eastAsia"/>
        </w:rPr>
        <w:t>第</w:t>
      </w:r>
      <w:r>
        <w:t>89</w:t>
      </w:r>
      <w:r>
        <w:rPr>
          <w:rFonts w:hint="eastAsia"/>
        </w:rPr>
        <w:t>号）规定，对新、改、扩建社会办养老机构，对符合资助条件的新增床位，按照每张</w:t>
      </w:r>
      <w:r>
        <w:t>3000</w:t>
      </w:r>
      <w:r>
        <w:rPr>
          <w:rFonts w:hint="eastAsia"/>
        </w:rPr>
        <w:t>元的标准给予一次性的建设补贴；对运营正常、年检合格的社会办养老机构，按照每人每月</w:t>
      </w:r>
      <w:r>
        <w:t>100</w:t>
      </w:r>
      <w:r>
        <w:rPr>
          <w:rFonts w:hint="eastAsia"/>
        </w:rPr>
        <w:t>元的标准给予运营补贴，补贴资助由市、区财政按照</w:t>
      </w:r>
      <w:r>
        <w:t>1</w:t>
      </w:r>
      <w:r>
        <w:rPr>
          <w:rFonts w:hint="eastAsia"/>
        </w:rPr>
        <w:t>：</w:t>
      </w:r>
      <w:r>
        <w:t>1</w:t>
      </w:r>
      <w:r>
        <w:rPr>
          <w:rFonts w:hint="eastAsia"/>
        </w:rPr>
        <w:t>比例配套解决。</w:t>
      </w:r>
      <w:r>
        <w:t>2014</w:t>
      </w:r>
      <w:r>
        <w:rPr>
          <w:rFonts w:hint="eastAsia"/>
        </w:rPr>
        <w:t>年市民政局联合市财政局下发了关于印发《社区养老院建设运营补贴实施方案》的通知（武民政</w:t>
      </w:r>
      <w:r>
        <w:t>[2014]</w:t>
      </w:r>
      <w:r>
        <w:rPr>
          <w:rFonts w:hint="eastAsia"/>
        </w:rPr>
        <w:t>第</w:t>
      </w:r>
      <w:r>
        <w:t>40</w:t>
      </w:r>
      <w:r>
        <w:rPr>
          <w:rFonts w:hint="eastAsia"/>
        </w:rPr>
        <w:t>号）规定：社区养老院新增的床位，按照每张床位</w:t>
      </w:r>
      <w:r>
        <w:t>4000</w:t>
      </w:r>
      <w:r>
        <w:rPr>
          <w:rFonts w:hint="eastAsia"/>
        </w:rPr>
        <w:t>元的标准给予一次性建设补贴；按照实际入住老人、每张每月</w:t>
      </w:r>
      <w:r>
        <w:t>200</w:t>
      </w:r>
      <w:r>
        <w:rPr>
          <w:rFonts w:hint="eastAsia"/>
        </w:rPr>
        <w:t>元的标准给予运营补贴。</w:t>
      </w:r>
      <w:r>
        <w:t>2017</w:t>
      </w:r>
      <w:r>
        <w:rPr>
          <w:rFonts w:hint="eastAsia"/>
        </w:rPr>
        <w:t>年根据武汉市人民政府关于《提升养老服务供给水平加快发展养老服务业的实施意见》（武政规</w:t>
      </w:r>
      <w:r>
        <w:t>[2017]34</w:t>
      </w:r>
      <w:r>
        <w:rPr>
          <w:rFonts w:hint="eastAsia"/>
        </w:rPr>
        <w:t>号）规定，对各区由政府投资兴建的社区养老院，市财政按照</w:t>
      </w:r>
      <w:r>
        <w:t>8000</w:t>
      </w:r>
      <w:r>
        <w:rPr>
          <w:rFonts w:hint="eastAsia"/>
        </w:rPr>
        <w:t>元</w:t>
      </w:r>
      <w:r>
        <w:t>/</w:t>
      </w:r>
      <w:r>
        <w:rPr>
          <w:rFonts w:hint="eastAsia"/>
        </w:rPr>
        <w:t>张床位的标准给予建设补贴。对取得《养老机构设立许可》并依法进行登记的社会办非营利性养老机构集中护养型床位，属自有产权用房兴建的，按照</w:t>
      </w:r>
      <w:r>
        <w:t>8000</w:t>
      </w:r>
      <w:r>
        <w:rPr>
          <w:rFonts w:hint="eastAsia"/>
        </w:rPr>
        <w:t>元</w:t>
      </w:r>
      <w:r>
        <w:t>/</w:t>
      </w:r>
      <w:r>
        <w:rPr>
          <w:rFonts w:hint="eastAsia"/>
        </w:rPr>
        <w:t>张的标准给予建设补贴；属租赁用房兴建的，按照</w:t>
      </w:r>
      <w:r>
        <w:t>5000</w:t>
      </w:r>
      <w:r>
        <w:rPr>
          <w:rFonts w:hint="eastAsia"/>
        </w:rPr>
        <w:t>元</w:t>
      </w:r>
      <w:r>
        <w:t>/</w:t>
      </w:r>
      <w:r>
        <w:rPr>
          <w:rFonts w:hint="eastAsia"/>
        </w:rPr>
        <w:t>张的标准给予建设补贴。养老机构建设补贴按照</w:t>
      </w:r>
      <w:r>
        <w:t>40%</w:t>
      </w:r>
      <w:r>
        <w:rPr>
          <w:rFonts w:hint="eastAsia"/>
        </w:rPr>
        <w:t>、</w:t>
      </w:r>
      <w:r>
        <w:t>30%</w:t>
      </w:r>
      <w:r>
        <w:rPr>
          <w:rFonts w:hint="eastAsia"/>
        </w:rPr>
        <w:t>、</w:t>
      </w:r>
      <w:r>
        <w:t>30%</w:t>
      </w:r>
      <w:r>
        <w:rPr>
          <w:rFonts w:hint="eastAsia"/>
        </w:rPr>
        <w:t>的比例分</w:t>
      </w:r>
      <w:r>
        <w:t>3</w:t>
      </w:r>
      <w:r>
        <w:rPr>
          <w:rFonts w:hint="eastAsia"/>
        </w:rPr>
        <w:t>年拨付。对运营正常、年检合格的社会办非营利性养老机构，依照老年人实际入住床位数，按照</w:t>
      </w:r>
      <w:r>
        <w:t>200</w:t>
      </w:r>
      <w:r>
        <w:rPr>
          <w:rFonts w:hint="eastAsia"/>
        </w:rPr>
        <w:t>元</w:t>
      </w:r>
      <w:r>
        <w:t>/</w:t>
      </w:r>
      <w:r>
        <w:rPr>
          <w:rFonts w:hint="eastAsia"/>
        </w:rPr>
        <w:t>张</w:t>
      </w:r>
      <w:r>
        <w:t>/</w:t>
      </w:r>
      <w:r>
        <w:rPr>
          <w:rFonts w:hint="eastAsia"/>
        </w:rPr>
        <w:t>月的标准给予运营补贴，其中服务于失能老年人的，按照</w:t>
      </w:r>
      <w:r>
        <w:t>300</w:t>
      </w:r>
      <w:r>
        <w:rPr>
          <w:rFonts w:hint="eastAsia"/>
        </w:rPr>
        <w:t>元</w:t>
      </w:r>
      <w:r>
        <w:t>/</w:t>
      </w:r>
      <w:r>
        <w:rPr>
          <w:rFonts w:hint="eastAsia"/>
        </w:rPr>
        <w:t>张</w:t>
      </w:r>
      <w:r>
        <w:t>/</w:t>
      </w:r>
      <w:r>
        <w:rPr>
          <w:rFonts w:hint="eastAsia"/>
        </w:rPr>
        <w:t>月的标准给予运营补贴。经营性养老机构为失能老人提供服务床位，经民政部门审核符合条件的，享受与非营利性养老机构同等的运营补贴。据统计：</w:t>
      </w:r>
      <w:r>
        <w:t>2012-2016</w:t>
      </w:r>
      <w:r>
        <w:rPr>
          <w:rFonts w:hint="eastAsia"/>
        </w:rPr>
        <w:t>年已下拨市级建设运营补贴资金共计</w:t>
      </w:r>
      <w:r>
        <w:t>6255.2</w:t>
      </w:r>
      <w:r>
        <w:rPr>
          <w:rFonts w:hint="eastAsia"/>
        </w:rPr>
        <w:t>万元，其中</w:t>
      </w:r>
      <w:r>
        <w:t>2012</w:t>
      </w:r>
      <w:r>
        <w:rPr>
          <w:rFonts w:hint="eastAsia"/>
        </w:rPr>
        <w:t>年</w:t>
      </w:r>
      <w:r>
        <w:t>824.10</w:t>
      </w:r>
      <w:r>
        <w:rPr>
          <w:rFonts w:hint="eastAsia"/>
        </w:rPr>
        <w:t>万元，</w:t>
      </w:r>
      <w:r>
        <w:t>2013</w:t>
      </w:r>
      <w:r>
        <w:rPr>
          <w:rFonts w:hint="eastAsia"/>
        </w:rPr>
        <w:t>年</w:t>
      </w:r>
      <w:r>
        <w:t>1350.58</w:t>
      </w:r>
      <w:r>
        <w:rPr>
          <w:rFonts w:hint="eastAsia"/>
        </w:rPr>
        <w:t>万元，</w:t>
      </w:r>
      <w:r>
        <w:t>2014</w:t>
      </w:r>
      <w:r>
        <w:rPr>
          <w:rFonts w:hint="eastAsia"/>
        </w:rPr>
        <w:t>年</w:t>
      </w:r>
      <w:r>
        <w:t>1262.52</w:t>
      </w:r>
      <w:r>
        <w:rPr>
          <w:rFonts w:hint="eastAsia"/>
        </w:rPr>
        <w:t>万元，</w:t>
      </w:r>
      <w:r>
        <w:t>2015</w:t>
      </w:r>
      <w:r>
        <w:rPr>
          <w:rFonts w:hint="eastAsia"/>
        </w:rPr>
        <w:t>年</w:t>
      </w:r>
      <w:r>
        <w:t>1454</w:t>
      </w:r>
      <w:r>
        <w:rPr>
          <w:rFonts w:hint="eastAsia"/>
        </w:rPr>
        <w:t>万元，</w:t>
      </w:r>
      <w:r>
        <w:t>2016</w:t>
      </w:r>
      <w:r>
        <w:rPr>
          <w:rFonts w:hint="eastAsia"/>
        </w:rPr>
        <w:t>年</w:t>
      </w:r>
      <w:r>
        <w:t>1364</w:t>
      </w:r>
      <w:r>
        <w:rPr>
          <w:rFonts w:hint="eastAsia"/>
        </w:rPr>
        <w:t>万元</w:t>
      </w:r>
      <w:r>
        <w:t>.2017</w:t>
      </w:r>
      <w:r>
        <w:rPr>
          <w:rFonts w:hint="eastAsia"/>
        </w:rPr>
        <w:t>年资金准备下拨，大概</w:t>
      </w:r>
      <w:r>
        <w:t>2523.91</w:t>
      </w:r>
      <w:r>
        <w:rPr>
          <w:rFonts w:hint="eastAsia"/>
        </w:rPr>
        <w:t>万元。另外，为养老机构购买意外伤害保险：</w:t>
      </w:r>
      <w:r>
        <w:t>2018</w:t>
      </w:r>
      <w:r>
        <w:rPr>
          <w:rFonts w:hint="eastAsia"/>
        </w:rPr>
        <w:t>年，全市已有</w:t>
      </w:r>
      <w:r>
        <w:t>203</w:t>
      </w:r>
      <w:r>
        <w:rPr>
          <w:rFonts w:hint="eastAsia"/>
        </w:rPr>
        <w:t>家养老机构</w:t>
      </w:r>
      <w:r>
        <w:t>16292</w:t>
      </w:r>
      <w:r>
        <w:rPr>
          <w:rFonts w:hint="eastAsia"/>
        </w:rPr>
        <w:t>张床位参与了保险，市级资助保险资金</w:t>
      </w:r>
      <w:r>
        <w:t>87.09</w:t>
      </w:r>
      <w:r>
        <w:rPr>
          <w:rFonts w:hint="eastAsia"/>
        </w:rPr>
        <w:t>万元。由此可见，《办法》出台至今所取得的成果较为优异，较为充分地体现出了保障老人合法权益的立法目的。第二，市民政局执法情况。自《办法》实施至今，市民政局严格按照规定，指导、协调、监督管理。市区聘请了第三方机构去抽查</w:t>
      </w:r>
      <w:r>
        <w:t>135</w:t>
      </w:r>
      <w:r>
        <w:rPr>
          <w:rFonts w:hint="eastAsia"/>
        </w:rPr>
        <w:t>家社会办养老福利机构的运营管理情况、市级补贴资金运用情况，进行了多方位的全面评估，查处了</w:t>
      </w:r>
      <w:r>
        <w:t>3</w:t>
      </w:r>
      <w:r>
        <w:rPr>
          <w:rFonts w:hint="eastAsia"/>
        </w:rPr>
        <w:t>起养老福利机构违法案件。从整体来说，市民政局执法情况较为良好。第三，市民政局执法所遇困难。首先，执法手段的裁量标准不够明确，《办法》中并未细化执法裁量标准，例如社会办养老福利机构的服务范围改变如何处理，应该注销却不注销的情况如何处罚等问题都很难得到实际解决。其次，社会办养老福利机构拿地难、审批难，不仅由于社会办养老福利机构属于低收入行业，而且武汉中心城区拿地困难，结合市场供需调节，私人已不愿去创办社会办养老福利机构。审批难的主要原因是消防问题障碍，如何排除安全隐患、保证顺利通过审批是亟待解决的问题。最后，补贴资金力度仍需加大。社会办养老福利机构水平不高，结合我国国情与武汉市市情，补贴政策仍旧不够优惠，相较于上海等城市偏少，政府刺激力度不够，多数社会办养老福利机构仍待改善。</w:t>
      </w:r>
    </w:p>
    <w:p>
      <w:pPr>
        <w:spacing w:line="300" w:lineRule="auto"/>
        <w:ind w:firstLine="480" w:firstLineChars="200"/>
      </w:pPr>
      <w:r>
        <w:rPr>
          <w:rFonts w:hint="eastAsia"/>
        </w:rPr>
        <w:t>其次，为了对《办法》的实施效果进行有效的评估，我们分别采取了问卷调查和走访的形式进行了数据的采集和统计，其中问卷调查的问卷设计为</w:t>
      </w:r>
      <w:r>
        <w:t>“</w:t>
      </w:r>
      <w:r>
        <w:rPr>
          <w:rFonts w:hint="eastAsia"/>
        </w:rPr>
        <w:t>适用社会公众问卷</w:t>
      </w:r>
      <w:r>
        <w:t>”</w:t>
      </w:r>
      <w:r>
        <w:rPr>
          <w:rFonts w:hint="eastAsia"/>
        </w:rPr>
        <w:t>，总共包含了十四道单项选择和一道多项选择，其中问题</w:t>
      </w:r>
      <w:r>
        <w:t>1</w:t>
      </w:r>
      <w:r>
        <w:rPr>
          <w:rFonts w:hint="eastAsia"/>
        </w:rPr>
        <w:t>至问题</w:t>
      </w:r>
      <w:r>
        <w:t>3</w:t>
      </w:r>
      <w:r>
        <w:rPr>
          <w:rFonts w:hint="eastAsia"/>
        </w:rPr>
        <w:t>以及问题</w:t>
      </w:r>
      <w:r>
        <w:t>11</w:t>
      </w:r>
      <w:r>
        <w:rPr>
          <w:rFonts w:hint="eastAsia"/>
        </w:rPr>
        <w:t>是对立法宣传贯彻情况的调查，问题</w:t>
      </w:r>
      <w:r>
        <w:t>4</w:t>
      </w:r>
      <w:r>
        <w:rPr>
          <w:rFonts w:hint="eastAsia"/>
        </w:rPr>
        <w:t>至问题</w:t>
      </w:r>
      <w:r>
        <w:t>15</w:t>
      </w:r>
      <w:r>
        <w:rPr>
          <w:rFonts w:hint="eastAsia"/>
        </w:rPr>
        <w:t>（问题</w:t>
      </w:r>
      <w:r>
        <w:t>11</w:t>
      </w:r>
      <w:r>
        <w:rPr>
          <w:rFonts w:hint="eastAsia"/>
        </w:rPr>
        <w:t>除外）是对制度建设、执行情况的调查，我们随机从学校、养老院以及企业单位等选取了</w:t>
      </w:r>
      <w:r>
        <w:t>800</w:t>
      </w:r>
      <w:r>
        <w:rPr>
          <w:rFonts w:hint="eastAsia"/>
        </w:rPr>
        <w:t>个样本向他们发放了调查问卷，并全部收回发出的问卷。此外针对配套性文件制定情况的评估我们采取的是以访谈的调研模式了解并收集相关信息。</w:t>
      </w:r>
    </w:p>
    <w:p>
      <w:pPr>
        <w:spacing w:line="300" w:lineRule="auto"/>
        <w:ind w:firstLine="480" w:firstLineChars="200"/>
      </w:pPr>
      <w:r>
        <w:rPr>
          <w:rFonts w:hint="eastAsia"/>
        </w:rPr>
        <w:t>本次《办法》立法后评估调查问卷统计样本基本情况如下：</w:t>
      </w:r>
    </w:p>
    <w:p>
      <w:pPr>
        <w:spacing w:line="300" w:lineRule="auto"/>
        <w:ind w:firstLine="480" w:firstLineChars="200"/>
      </w:pPr>
      <w:r>
        <w:rPr>
          <w:rFonts w:hint="eastAsia"/>
        </w:rPr>
        <w:t>（</w:t>
      </w:r>
      <w:r>
        <w:t>1</w:t>
      </w:r>
      <w:r>
        <w:rPr>
          <w:rFonts w:hint="eastAsia"/>
        </w:rPr>
        <w:t>）性别情况</w:t>
      </w:r>
    </w:p>
    <w:p>
      <w:pPr>
        <w:spacing w:line="300" w:lineRule="auto"/>
        <w:ind w:firstLine="480" w:firstLineChars="200"/>
      </w:pPr>
      <w:r>
        <w:rPr>
          <w:rFonts w:hint="eastAsia"/>
        </w:rPr>
        <w:t>本次问卷调查中参与的男性</w:t>
      </w:r>
      <w:r>
        <w:t>417</w:t>
      </w:r>
      <w:r>
        <w:rPr>
          <w:rFonts w:hint="eastAsia"/>
        </w:rPr>
        <w:t>人，占总样本人数的</w:t>
      </w:r>
      <w:r>
        <w:t>52.1%</w:t>
      </w:r>
      <w:r>
        <w:rPr>
          <w:rFonts w:hint="eastAsia"/>
        </w:rPr>
        <w:t>，女性</w:t>
      </w:r>
      <w:r>
        <w:t>383</w:t>
      </w:r>
      <w:r>
        <w:rPr>
          <w:rFonts w:hint="eastAsia"/>
        </w:rPr>
        <w:t>人，占总样本人数的</w:t>
      </w:r>
      <w:r>
        <w:t>47.9%</w:t>
      </w:r>
      <w:r>
        <w:rPr>
          <w:rFonts w:hint="eastAsia"/>
        </w:rPr>
        <w:t>。具体情况如下图表：</w:t>
      </w:r>
    </w:p>
    <w:tbl>
      <w:tblPr>
        <w:tblStyle w:val="21"/>
        <w:tblW w:w="5385" w:type="dxa"/>
        <w:tblInd w:w="127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745"/>
        <w:gridCol w:w="1008"/>
        <w:gridCol w:w="991"/>
        <w:gridCol w:w="1311"/>
        <w:gridCol w:w="128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3" w:hRule="atLeast"/>
          <w:tblHeader/>
        </w:trPr>
        <w:tc>
          <w:tcPr>
            <w:tcW w:w="5385" w:type="dxa"/>
            <w:gridSpan w:val="6"/>
            <w:tcBorders>
              <w:top w:val="nil"/>
              <w:left w:val="nil"/>
              <w:bottom w:val="nil"/>
              <w:right w:val="nil"/>
            </w:tcBorders>
            <w:shd w:val="clear" w:color="auto" w:fill="FFFFFF"/>
            <w:vAlign w:val="center"/>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bCs/>
                <w:sz w:val="21"/>
                <w:szCs w:val="21"/>
              </w:rPr>
              <w:t>表</w:t>
            </w:r>
            <w:r>
              <w:rPr>
                <w:rFonts w:ascii="Times New Roman" w:hAnsi="Times New Roman" w:eastAsia="宋体" w:cs="Times New Roman"/>
                <w:bCs/>
                <w:sz w:val="21"/>
                <w:szCs w:val="21"/>
              </w:rPr>
              <w:t>5.1</w:t>
            </w:r>
            <w:r>
              <w:rPr>
                <w:rFonts w:hint="eastAsia" w:ascii="Times New Roman" w:hAnsi="Times New Roman" w:eastAsia="宋体" w:cs="Times New Roman"/>
                <w:bCs/>
                <w:sz w:val="21"/>
                <w:szCs w:val="21"/>
              </w:rPr>
              <w:t>性别</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88"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276"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性别</w:t>
            </w:r>
          </w:p>
        </w:tc>
        <w:tc>
          <w:tcPr>
            <w:tcW w:w="1008"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频率</w:t>
            </w:r>
          </w:p>
        </w:tc>
        <w:tc>
          <w:tcPr>
            <w:tcW w:w="991"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百分比</w:t>
            </w:r>
          </w:p>
        </w:tc>
        <w:tc>
          <w:tcPr>
            <w:tcW w:w="1311"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有效百分比</w:t>
            </w:r>
          </w:p>
        </w:tc>
        <w:tc>
          <w:tcPr>
            <w:tcW w:w="1287"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2" w:hRule="atLeas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spacing w:line="276"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w:t>
            </w:r>
          </w:p>
        </w:tc>
        <w:tc>
          <w:tcPr>
            <w:tcW w:w="745" w:type="dxa"/>
            <w:tcBorders>
              <w:top w:val="single" w:color="000000" w:sz="18" w:space="0"/>
              <w:left w:val="nil"/>
              <w:bottom w:val="nil"/>
              <w:right w:val="single" w:color="000000" w:sz="18" w:space="0"/>
            </w:tcBorders>
            <w:shd w:val="clear" w:color="auto" w:fill="FFFFFF"/>
          </w:tcPr>
          <w:p>
            <w:pPr>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男</w:t>
            </w:r>
          </w:p>
        </w:tc>
        <w:tc>
          <w:tcPr>
            <w:tcW w:w="1008" w:type="dxa"/>
            <w:tcBorders>
              <w:top w:val="single" w:color="000000" w:sz="18" w:space="0"/>
              <w:left w:val="single" w:color="000000" w:sz="1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417</w:t>
            </w:r>
          </w:p>
        </w:tc>
        <w:tc>
          <w:tcPr>
            <w:tcW w:w="991" w:type="dxa"/>
            <w:tcBorders>
              <w:top w:val="single" w:color="000000" w:sz="18" w:space="0"/>
              <w:left w:val="single" w:color="000000" w:sz="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52.1</w:t>
            </w:r>
          </w:p>
        </w:tc>
        <w:tc>
          <w:tcPr>
            <w:tcW w:w="1311" w:type="dxa"/>
            <w:tcBorders>
              <w:top w:val="single" w:color="000000" w:sz="18" w:space="0"/>
              <w:left w:val="single" w:color="000000" w:sz="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52.1</w:t>
            </w:r>
          </w:p>
        </w:tc>
        <w:tc>
          <w:tcPr>
            <w:tcW w:w="1287" w:type="dxa"/>
            <w:tcBorders>
              <w:top w:val="single" w:color="000000" w:sz="18" w:space="0"/>
              <w:left w:val="single" w:color="000000" w:sz="8" w:space="0"/>
              <w:bottom w:val="nil"/>
              <w:right w:val="single" w:color="000000" w:sz="1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52.1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7" w:hRule="atLeas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745" w:type="dxa"/>
            <w:tcBorders>
              <w:top w:val="nil"/>
              <w:left w:val="nil"/>
              <w:bottom w:val="nil"/>
              <w:right w:val="single" w:color="000000" w:sz="18" w:space="0"/>
            </w:tcBorders>
            <w:shd w:val="clear" w:color="auto" w:fill="FFFFFF"/>
          </w:tcPr>
          <w:p>
            <w:pPr>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女</w:t>
            </w:r>
          </w:p>
        </w:tc>
        <w:tc>
          <w:tcPr>
            <w:tcW w:w="1008" w:type="dxa"/>
            <w:tcBorders>
              <w:top w:val="nil"/>
              <w:left w:val="single" w:color="000000" w:sz="1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383</w:t>
            </w:r>
          </w:p>
        </w:tc>
        <w:tc>
          <w:tcPr>
            <w:tcW w:w="991" w:type="dxa"/>
            <w:tcBorders>
              <w:top w:val="nil"/>
              <w:left w:val="single" w:color="000000" w:sz="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47.9</w:t>
            </w:r>
          </w:p>
        </w:tc>
        <w:tc>
          <w:tcPr>
            <w:tcW w:w="1311" w:type="dxa"/>
            <w:tcBorders>
              <w:top w:val="nil"/>
              <w:left w:val="single" w:color="000000" w:sz="8" w:space="0"/>
              <w:bottom w:val="nil"/>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47.9</w:t>
            </w:r>
          </w:p>
        </w:tc>
        <w:tc>
          <w:tcPr>
            <w:tcW w:w="1287" w:type="dxa"/>
            <w:tcBorders>
              <w:top w:val="nil"/>
              <w:left w:val="single" w:color="000000" w:sz="8" w:space="0"/>
              <w:bottom w:val="nil"/>
              <w:right w:val="single" w:color="000000" w:sz="1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745" w:type="dxa"/>
            <w:tcBorders>
              <w:top w:val="nil"/>
              <w:left w:val="nil"/>
              <w:bottom w:val="single" w:color="000000" w:sz="18" w:space="0"/>
              <w:right w:val="single" w:color="000000" w:sz="18" w:space="0"/>
            </w:tcBorders>
            <w:shd w:val="clear" w:color="auto" w:fill="FFFFFF"/>
          </w:tcPr>
          <w:p>
            <w:pPr>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合计</w:t>
            </w:r>
          </w:p>
        </w:tc>
        <w:tc>
          <w:tcPr>
            <w:tcW w:w="1008" w:type="dxa"/>
            <w:tcBorders>
              <w:top w:val="nil"/>
              <w:left w:val="single" w:color="000000" w:sz="18" w:space="0"/>
              <w:bottom w:val="single" w:color="000000" w:sz="18" w:space="0"/>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991" w:type="dxa"/>
            <w:tcBorders>
              <w:top w:val="nil"/>
              <w:left w:val="single" w:color="000000" w:sz="8" w:space="0"/>
              <w:bottom w:val="single" w:color="000000" w:sz="18" w:space="0"/>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311" w:type="dxa"/>
            <w:tcBorders>
              <w:top w:val="nil"/>
              <w:left w:val="single" w:color="000000" w:sz="8" w:space="0"/>
              <w:bottom w:val="single" w:color="000000" w:sz="18" w:space="0"/>
              <w:right w:val="single" w:color="000000" w:sz="8" w:space="0"/>
            </w:tcBorders>
            <w:shd w:val="clear" w:color="auto" w:fill="FFFFFF"/>
          </w:tcPr>
          <w:p>
            <w:pPr>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87" w:type="dxa"/>
            <w:tcBorders>
              <w:top w:val="nil"/>
              <w:left w:val="single" w:color="000000" w:sz="8" w:space="0"/>
              <w:bottom w:val="single" w:color="000000" w:sz="18" w:space="0"/>
              <w:right w:val="single" w:color="000000" w:sz="18" w:space="0"/>
            </w:tcBorders>
            <w:shd w:val="clear" w:color="auto" w:fill="FFFFFF"/>
            <w:vAlign w:val="center"/>
          </w:tcPr>
          <w:p>
            <w:pPr>
              <w:jc w:val="center"/>
              <w:rPr>
                <w:rFonts w:ascii="Times New Roman" w:hAnsi="Times New Roman" w:eastAsia="宋体" w:cs="Times New Roman"/>
                <w:sz w:val="21"/>
                <w:szCs w:val="21"/>
              </w:rPr>
            </w:pPr>
          </w:p>
        </w:tc>
      </w:tr>
    </w:tbl>
    <w:p>
      <w:pPr>
        <w:spacing w:line="300" w:lineRule="auto"/>
        <w:jc w:val="center"/>
        <w:rPr>
          <w:rFonts w:ascii="Times New Roman" w:hAnsi="Times New Roman" w:eastAsia="宋体" w:cs="Times New Roman"/>
          <w:szCs w:val="21"/>
        </w:rPr>
      </w:pPr>
    </w:p>
    <w:p>
      <w:pPr>
        <w:spacing w:line="300" w:lineRule="auto"/>
        <w:ind w:firstLine="480" w:firstLineChars="200"/>
      </w:pPr>
      <w:r>
        <w:rPr>
          <w:rFonts w:hint="eastAsia"/>
        </w:rPr>
        <w:t>（</w:t>
      </w:r>
      <w:r>
        <w:t>2</w:t>
      </w:r>
      <w:r>
        <w:rPr>
          <w:rFonts w:hint="eastAsia"/>
        </w:rPr>
        <w:t>）年龄分布情况</w:t>
      </w:r>
    </w:p>
    <w:p>
      <w:pPr>
        <w:spacing w:line="300" w:lineRule="auto"/>
        <w:ind w:firstLine="480" w:firstLineChars="200"/>
      </w:pPr>
      <w:bookmarkStart w:id="1" w:name="_Hlk516130744"/>
      <w:r>
        <w:rPr>
          <w:rFonts w:hint="eastAsia"/>
        </w:rPr>
        <w:t>本次问卷调查参与者的年龄分布情况如下图表，其中处于</w:t>
      </w:r>
      <w:r>
        <w:t>18</w:t>
      </w:r>
      <w:r>
        <w:rPr>
          <w:rFonts w:hint="eastAsia"/>
        </w:rPr>
        <w:t>岁至</w:t>
      </w:r>
      <w:r>
        <w:t>30</w:t>
      </w:r>
      <w:r>
        <w:rPr>
          <w:rFonts w:hint="eastAsia"/>
        </w:rPr>
        <w:t>岁的样本有</w:t>
      </w:r>
      <w:r>
        <w:t>264</w:t>
      </w:r>
      <w:r>
        <w:rPr>
          <w:rFonts w:hint="eastAsia"/>
        </w:rPr>
        <w:t>人，占总样本数的</w:t>
      </w:r>
      <w:r>
        <w:t>33.0%</w:t>
      </w:r>
      <w:r>
        <w:rPr>
          <w:rFonts w:hint="eastAsia"/>
        </w:rPr>
        <w:t>；处于</w:t>
      </w:r>
      <w:r>
        <w:t>31</w:t>
      </w:r>
      <w:r>
        <w:rPr>
          <w:rFonts w:hint="eastAsia"/>
        </w:rPr>
        <w:t>岁至</w:t>
      </w:r>
      <w:r>
        <w:t>50</w:t>
      </w:r>
      <w:r>
        <w:rPr>
          <w:rFonts w:hint="eastAsia"/>
        </w:rPr>
        <w:t>岁的样本有</w:t>
      </w:r>
      <w:r>
        <w:t>302</w:t>
      </w:r>
      <w:r>
        <w:rPr>
          <w:rFonts w:hint="eastAsia"/>
        </w:rPr>
        <w:t>人，占总样本数</w:t>
      </w:r>
      <w:r>
        <w:t>37.8%</w:t>
      </w:r>
      <w:r>
        <w:rPr>
          <w:rFonts w:hint="eastAsia"/>
        </w:rPr>
        <w:t>；处于</w:t>
      </w:r>
      <w:r>
        <w:t>51</w:t>
      </w:r>
      <w:r>
        <w:rPr>
          <w:rFonts w:hint="eastAsia"/>
        </w:rPr>
        <w:t>岁至</w:t>
      </w:r>
      <w:r>
        <w:t>60</w:t>
      </w:r>
      <w:r>
        <w:rPr>
          <w:rFonts w:hint="eastAsia"/>
        </w:rPr>
        <w:t>岁的样本有</w:t>
      </w:r>
      <w:r>
        <w:t>156</w:t>
      </w:r>
      <w:r>
        <w:rPr>
          <w:rFonts w:hint="eastAsia"/>
        </w:rPr>
        <w:t>人，占总样本数的</w:t>
      </w:r>
      <w:r>
        <w:t>19.5%</w:t>
      </w:r>
      <w:r>
        <w:rPr>
          <w:rFonts w:hint="eastAsia"/>
        </w:rPr>
        <w:t>；处于</w:t>
      </w:r>
      <w:r>
        <w:t>61</w:t>
      </w:r>
      <w:r>
        <w:rPr>
          <w:rFonts w:hint="eastAsia"/>
        </w:rPr>
        <w:t>岁以上的样本有</w:t>
      </w:r>
      <w:r>
        <w:t>78</w:t>
      </w:r>
      <w:r>
        <w:rPr>
          <w:rFonts w:hint="eastAsia"/>
        </w:rPr>
        <w:t>人，占总样本数的</w:t>
      </w:r>
      <w:r>
        <w:t>9.8%</w:t>
      </w:r>
      <w:r>
        <w:rPr>
          <w:rFonts w:hint="eastAsia"/>
        </w:rPr>
        <w:t>。</w:t>
      </w:r>
      <w:bookmarkEnd w:id="1"/>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5.2</w:t>
      </w:r>
      <w:r>
        <w:rPr>
          <w:rFonts w:hint="eastAsia" w:ascii="Times New Roman" w:hAnsi="Times New Roman" w:eastAsia="宋体" w:cs="Times New Roman"/>
          <w:sz w:val="21"/>
          <w:szCs w:val="21"/>
        </w:rPr>
        <w:t>年龄</w:t>
      </w:r>
    </w:p>
    <w:tbl>
      <w:tblPr>
        <w:tblStyle w:val="21"/>
        <w:tblW w:w="5385" w:type="dxa"/>
        <w:tblInd w:w="125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951"/>
        <w:gridCol w:w="950"/>
        <w:gridCol w:w="867"/>
        <w:gridCol w:w="1299"/>
        <w:gridCol w:w="12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994"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年龄</w:t>
            </w:r>
          </w:p>
        </w:tc>
        <w:tc>
          <w:tcPr>
            <w:tcW w:w="950"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频率</w:t>
            </w:r>
          </w:p>
        </w:tc>
        <w:tc>
          <w:tcPr>
            <w:tcW w:w="867"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百分比</w:t>
            </w:r>
          </w:p>
        </w:tc>
        <w:tc>
          <w:tcPr>
            <w:tcW w:w="1299"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有效百分比</w:t>
            </w:r>
          </w:p>
        </w:tc>
        <w:tc>
          <w:tcPr>
            <w:tcW w:w="1275"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w:t>
            </w:r>
          </w:p>
        </w:tc>
        <w:tc>
          <w:tcPr>
            <w:tcW w:w="951" w:type="dxa"/>
            <w:tcBorders>
              <w:top w:val="single" w:color="000000" w:sz="18" w:space="0"/>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18-30</w:t>
            </w:r>
          </w:p>
        </w:tc>
        <w:tc>
          <w:tcPr>
            <w:tcW w:w="950" w:type="dxa"/>
            <w:tcBorders>
              <w:top w:val="single" w:color="000000" w:sz="18" w:space="0"/>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264</w:t>
            </w:r>
          </w:p>
        </w:tc>
        <w:tc>
          <w:tcPr>
            <w:tcW w:w="867"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33.0</w:t>
            </w:r>
          </w:p>
        </w:tc>
        <w:tc>
          <w:tcPr>
            <w:tcW w:w="1299"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33.0</w:t>
            </w:r>
          </w:p>
        </w:tc>
        <w:tc>
          <w:tcPr>
            <w:tcW w:w="1275" w:type="dxa"/>
            <w:tcBorders>
              <w:top w:val="single" w:color="000000" w:sz="18" w:space="0"/>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51"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31-50</w:t>
            </w:r>
          </w:p>
        </w:tc>
        <w:tc>
          <w:tcPr>
            <w:tcW w:w="950"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302</w:t>
            </w:r>
          </w:p>
        </w:tc>
        <w:tc>
          <w:tcPr>
            <w:tcW w:w="867"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37.8</w:t>
            </w:r>
          </w:p>
        </w:tc>
        <w:tc>
          <w:tcPr>
            <w:tcW w:w="129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37.8</w:t>
            </w:r>
          </w:p>
        </w:tc>
        <w:tc>
          <w:tcPr>
            <w:tcW w:w="1275"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70.8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51"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51-60</w:t>
            </w:r>
          </w:p>
        </w:tc>
        <w:tc>
          <w:tcPr>
            <w:tcW w:w="950"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156</w:t>
            </w:r>
          </w:p>
        </w:tc>
        <w:tc>
          <w:tcPr>
            <w:tcW w:w="867"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19.5</w:t>
            </w:r>
          </w:p>
        </w:tc>
        <w:tc>
          <w:tcPr>
            <w:tcW w:w="129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19.5</w:t>
            </w:r>
          </w:p>
        </w:tc>
        <w:tc>
          <w:tcPr>
            <w:tcW w:w="1275"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90.3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51"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61</w:t>
            </w:r>
            <w:r>
              <w:rPr>
                <w:rFonts w:hint="eastAsia" w:ascii="Times New Roman" w:hAnsi="Times New Roman" w:eastAsia="宋体" w:cs="Times New Roman"/>
                <w:sz w:val="21"/>
                <w:szCs w:val="21"/>
              </w:rPr>
              <w:t>以上</w:t>
            </w:r>
          </w:p>
        </w:tc>
        <w:tc>
          <w:tcPr>
            <w:tcW w:w="950"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78</w:t>
            </w:r>
          </w:p>
        </w:tc>
        <w:tc>
          <w:tcPr>
            <w:tcW w:w="867"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9.8</w:t>
            </w:r>
          </w:p>
        </w:tc>
        <w:tc>
          <w:tcPr>
            <w:tcW w:w="129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9.8</w:t>
            </w:r>
          </w:p>
        </w:tc>
        <w:tc>
          <w:tcPr>
            <w:tcW w:w="1275"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51" w:type="dxa"/>
            <w:tcBorders>
              <w:top w:val="nil"/>
              <w:left w:val="nil"/>
              <w:bottom w:val="single" w:color="000000" w:sz="18" w:space="0"/>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合计</w:t>
            </w:r>
          </w:p>
        </w:tc>
        <w:tc>
          <w:tcPr>
            <w:tcW w:w="950" w:type="dxa"/>
            <w:tcBorders>
              <w:top w:val="nil"/>
              <w:left w:val="single" w:color="000000" w:sz="1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867"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99"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75" w:type="dxa"/>
            <w:tcBorders>
              <w:top w:val="nil"/>
              <w:left w:val="single" w:color="000000" w:sz="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p>
        </w:tc>
      </w:tr>
    </w:tbl>
    <w:p>
      <w:pPr>
        <w:spacing w:line="300" w:lineRule="auto"/>
        <w:ind w:left="420"/>
        <w:rPr>
          <w:rFonts w:ascii="Times New Roman" w:hAnsi="Times New Roman" w:eastAsia="宋体" w:cs="Times New Roman"/>
          <w:szCs w:val="21"/>
        </w:rPr>
      </w:pPr>
    </w:p>
    <w:p>
      <w:pPr>
        <w:spacing w:line="300" w:lineRule="auto"/>
        <w:ind w:left="42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3</w:t>
      </w:r>
      <w:r>
        <w:rPr>
          <w:rFonts w:hint="eastAsia" w:ascii="Times New Roman" w:hAnsi="Times New Roman" w:eastAsia="宋体" w:cs="Times New Roman"/>
          <w:szCs w:val="21"/>
        </w:rPr>
        <w:t>）职业情况</w:t>
      </w:r>
    </w:p>
    <w:p>
      <w:pPr>
        <w:spacing w:line="300" w:lineRule="auto"/>
        <w:ind w:firstLine="480" w:firstLineChars="200"/>
        <w:rPr>
          <w:rFonts w:ascii="Times New Roman" w:hAnsi="Times New Roman" w:eastAsia="宋体" w:cs="Times New Roman"/>
          <w:szCs w:val="21"/>
        </w:rPr>
      </w:pPr>
      <w:bookmarkStart w:id="2" w:name="_Hlk516131066"/>
      <w:r>
        <w:rPr>
          <w:rFonts w:hint="eastAsia" w:ascii="Times New Roman" w:hAnsi="Times New Roman" w:eastAsia="宋体" w:cs="Times New Roman"/>
          <w:szCs w:val="21"/>
        </w:rPr>
        <w:t>本次问卷调查参与者的职业情况如下图表，其中机关事业单位工作人员有</w:t>
      </w:r>
      <w:r>
        <w:rPr>
          <w:rFonts w:ascii="Times New Roman" w:hAnsi="Times New Roman" w:eastAsia="宋体" w:cs="Times New Roman"/>
          <w:szCs w:val="21"/>
        </w:rPr>
        <w:t>185</w:t>
      </w:r>
      <w:r>
        <w:rPr>
          <w:rFonts w:hint="eastAsia" w:ascii="Times New Roman" w:hAnsi="Times New Roman" w:eastAsia="宋体" w:cs="Times New Roman"/>
          <w:szCs w:val="21"/>
        </w:rPr>
        <w:t>人，占总样本数的</w:t>
      </w:r>
      <w:r>
        <w:rPr>
          <w:rFonts w:ascii="Times New Roman" w:hAnsi="Times New Roman" w:eastAsia="宋体" w:cs="Times New Roman"/>
          <w:szCs w:val="21"/>
        </w:rPr>
        <w:t>23.1%</w:t>
      </w:r>
      <w:r>
        <w:rPr>
          <w:rFonts w:hint="eastAsia" w:ascii="Times New Roman" w:hAnsi="Times New Roman" w:eastAsia="宋体" w:cs="Times New Roman"/>
          <w:szCs w:val="21"/>
        </w:rPr>
        <w:t>；国有企业工作人员有</w:t>
      </w:r>
      <w:r>
        <w:rPr>
          <w:rFonts w:ascii="Times New Roman" w:hAnsi="Times New Roman" w:eastAsia="宋体" w:cs="Times New Roman"/>
          <w:szCs w:val="21"/>
        </w:rPr>
        <w:t>114</w:t>
      </w:r>
      <w:r>
        <w:rPr>
          <w:rFonts w:hint="eastAsia" w:ascii="Times New Roman" w:hAnsi="Times New Roman" w:eastAsia="宋体" w:cs="Times New Roman"/>
          <w:szCs w:val="21"/>
        </w:rPr>
        <w:t>人，占总样本数</w:t>
      </w:r>
      <w:r>
        <w:rPr>
          <w:rFonts w:ascii="Times New Roman" w:hAnsi="Times New Roman" w:eastAsia="宋体" w:cs="Times New Roman"/>
          <w:szCs w:val="21"/>
        </w:rPr>
        <w:t>14.3%</w:t>
      </w:r>
      <w:r>
        <w:rPr>
          <w:rFonts w:hint="eastAsia" w:ascii="Times New Roman" w:hAnsi="Times New Roman" w:eastAsia="宋体" w:cs="Times New Roman"/>
          <w:szCs w:val="21"/>
        </w:rPr>
        <w:t>；私营、外资、个体企业工作人员有</w:t>
      </w:r>
      <w:r>
        <w:rPr>
          <w:rFonts w:ascii="Times New Roman" w:hAnsi="Times New Roman" w:eastAsia="宋体" w:cs="Times New Roman"/>
          <w:szCs w:val="21"/>
        </w:rPr>
        <w:t>258</w:t>
      </w:r>
      <w:r>
        <w:rPr>
          <w:rFonts w:hint="eastAsia" w:ascii="Times New Roman" w:hAnsi="Times New Roman" w:eastAsia="宋体" w:cs="Times New Roman"/>
          <w:szCs w:val="21"/>
        </w:rPr>
        <w:t>人，占总样本数的</w:t>
      </w:r>
      <w:r>
        <w:rPr>
          <w:rFonts w:ascii="Times New Roman" w:hAnsi="Times New Roman" w:eastAsia="宋体" w:cs="Times New Roman"/>
          <w:szCs w:val="21"/>
        </w:rPr>
        <w:t>32.3%</w:t>
      </w:r>
      <w:r>
        <w:rPr>
          <w:rFonts w:hint="eastAsia" w:ascii="Times New Roman" w:hAnsi="Times New Roman" w:eastAsia="宋体" w:cs="Times New Roman"/>
          <w:szCs w:val="21"/>
        </w:rPr>
        <w:t>；自由职业或无业有</w:t>
      </w:r>
      <w:r>
        <w:rPr>
          <w:rFonts w:ascii="Times New Roman" w:hAnsi="Times New Roman" w:eastAsia="宋体" w:cs="Times New Roman"/>
          <w:szCs w:val="21"/>
        </w:rPr>
        <w:t>243</w:t>
      </w:r>
      <w:r>
        <w:rPr>
          <w:rFonts w:hint="eastAsia" w:ascii="Times New Roman" w:hAnsi="Times New Roman" w:eastAsia="宋体" w:cs="Times New Roman"/>
          <w:szCs w:val="21"/>
        </w:rPr>
        <w:t>人，占总样本数的</w:t>
      </w:r>
      <w:r>
        <w:rPr>
          <w:rFonts w:ascii="Times New Roman" w:hAnsi="Times New Roman" w:eastAsia="宋体" w:cs="Times New Roman"/>
          <w:szCs w:val="21"/>
        </w:rPr>
        <w:t>30.4%</w:t>
      </w:r>
      <w:r>
        <w:rPr>
          <w:rFonts w:hint="eastAsia" w:ascii="Times New Roman" w:hAnsi="Times New Roman" w:eastAsia="宋体" w:cs="Times New Roman"/>
          <w:szCs w:val="21"/>
        </w:rPr>
        <w:t>。</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5.3</w:t>
      </w:r>
      <w:r>
        <w:rPr>
          <w:rFonts w:hint="eastAsia" w:ascii="Times New Roman" w:hAnsi="Times New Roman" w:eastAsia="宋体" w:cs="Times New Roman"/>
          <w:sz w:val="21"/>
          <w:szCs w:val="21"/>
        </w:rPr>
        <w:t>职业</w:t>
      </w:r>
    </w:p>
    <w:bookmarkEnd w:id="2"/>
    <w:tbl>
      <w:tblPr>
        <w:tblStyle w:val="21"/>
        <w:tblW w:w="7500" w:type="dxa"/>
        <w:tblInd w:w="71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
        <w:gridCol w:w="2415"/>
        <w:gridCol w:w="1214"/>
        <w:gridCol w:w="1245"/>
        <w:gridCol w:w="1282"/>
        <w:gridCol w:w="1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2459"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职业</w:t>
            </w:r>
          </w:p>
        </w:tc>
        <w:tc>
          <w:tcPr>
            <w:tcW w:w="1214"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频率</w:t>
            </w:r>
          </w:p>
        </w:tc>
        <w:tc>
          <w:tcPr>
            <w:tcW w:w="1245"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百分比</w:t>
            </w:r>
          </w:p>
        </w:tc>
        <w:tc>
          <w:tcPr>
            <w:tcW w:w="1282"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有效百分比</w:t>
            </w:r>
          </w:p>
        </w:tc>
        <w:tc>
          <w:tcPr>
            <w:tcW w:w="1300"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restart"/>
            <w:tcBorders>
              <w:top w:val="single" w:color="000000" w:sz="18" w:space="0"/>
              <w:left w:val="single" w:color="000000" w:sz="18" w:space="0"/>
              <w:bottom w:val="single" w:color="000000" w:sz="18" w:space="0"/>
              <w:right w:val="nil"/>
            </w:tcBorders>
            <w:shd w:val="clear" w:color="auto" w:fill="FFFFFF"/>
          </w:tcPr>
          <w:p>
            <w:pPr>
              <w:spacing w:line="300" w:lineRule="auto"/>
              <w:ind w:left="60" w:right="60"/>
              <w:rPr>
                <w:rFonts w:ascii="Times New Roman" w:hAnsi="Times New Roman" w:eastAsia="宋体" w:cs="Times New Roman"/>
                <w:sz w:val="21"/>
                <w:szCs w:val="21"/>
              </w:rPr>
            </w:pPr>
          </w:p>
        </w:tc>
        <w:tc>
          <w:tcPr>
            <w:tcW w:w="2415" w:type="dxa"/>
            <w:tcBorders>
              <w:top w:val="single" w:color="000000" w:sz="18" w:space="0"/>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机关事业单位工作人员</w:t>
            </w:r>
          </w:p>
        </w:tc>
        <w:tc>
          <w:tcPr>
            <w:tcW w:w="1214" w:type="dxa"/>
            <w:tcBorders>
              <w:top w:val="single" w:color="000000" w:sz="18" w:space="0"/>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185</w:t>
            </w:r>
          </w:p>
        </w:tc>
        <w:tc>
          <w:tcPr>
            <w:tcW w:w="1245"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23.1</w:t>
            </w:r>
          </w:p>
        </w:tc>
        <w:tc>
          <w:tcPr>
            <w:tcW w:w="1282"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23.1</w:t>
            </w:r>
          </w:p>
        </w:tc>
        <w:tc>
          <w:tcPr>
            <w:tcW w:w="1300" w:type="dxa"/>
            <w:tcBorders>
              <w:top w:val="single" w:color="000000" w:sz="18" w:space="0"/>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2415"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国有企业工作人员</w:t>
            </w:r>
          </w:p>
        </w:tc>
        <w:tc>
          <w:tcPr>
            <w:tcW w:w="1214"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114</w:t>
            </w:r>
          </w:p>
        </w:tc>
        <w:tc>
          <w:tcPr>
            <w:tcW w:w="124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14.3</w:t>
            </w:r>
          </w:p>
        </w:tc>
        <w:tc>
          <w:tcPr>
            <w:tcW w:w="1282"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14.3</w:t>
            </w:r>
          </w:p>
        </w:tc>
        <w:tc>
          <w:tcPr>
            <w:tcW w:w="1300"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2415"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私营、外资、个体企业工作人员</w:t>
            </w:r>
          </w:p>
        </w:tc>
        <w:tc>
          <w:tcPr>
            <w:tcW w:w="1214"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258</w:t>
            </w:r>
          </w:p>
        </w:tc>
        <w:tc>
          <w:tcPr>
            <w:tcW w:w="124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32.3</w:t>
            </w:r>
          </w:p>
        </w:tc>
        <w:tc>
          <w:tcPr>
            <w:tcW w:w="1282"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32.3</w:t>
            </w:r>
          </w:p>
        </w:tc>
        <w:tc>
          <w:tcPr>
            <w:tcW w:w="1300"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69.6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2415"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自由职业或无业</w:t>
            </w:r>
          </w:p>
        </w:tc>
        <w:tc>
          <w:tcPr>
            <w:tcW w:w="1214"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243</w:t>
            </w:r>
          </w:p>
        </w:tc>
        <w:tc>
          <w:tcPr>
            <w:tcW w:w="124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30.4</w:t>
            </w:r>
          </w:p>
        </w:tc>
        <w:tc>
          <w:tcPr>
            <w:tcW w:w="1282"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30.4</w:t>
            </w:r>
          </w:p>
        </w:tc>
        <w:tc>
          <w:tcPr>
            <w:tcW w:w="1300"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2415" w:type="dxa"/>
            <w:tcBorders>
              <w:top w:val="nil"/>
              <w:left w:val="nil"/>
              <w:bottom w:val="single" w:color="000000" w:sz="18" w:space="0"/>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合计</w:t>
            </w:r>
          </w:p>
        </w:tc>
        <w:tc>
          <w:tcPr>
            <w:tcW w:w="1214" w:type="dxa"/>
            <w:tcBorders>
              <w:top w:val="nil"/>
              <w:left w:val="single" w:color="000000" w:sz="1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1245"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82"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300" w:type="dxa"/>
            <w:tcBorders>
              <w:top w:val="nil"/>
              <w:left w:val="single" w:color="000000" w:sz="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p>
        </w:tc>
      </w:tr>
    </w:tbl>
    <w:p>
      <w:pPr>
        <w:spacing w:line="300" w:lineRule="auto"/>
        <w:jc w:val="center"/>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w:t>
      </w:r>
      <w:r>
        <w:rPr>
          <w:rFonts w:ascii="Times New Roman" w:hAnsi="Times New Roman" w:eastAsia="宋体" w:cs="Times New Roman"/>
          <w:szCs w:val="21"/>
        </w:rPr>
        <w:t>4</w:t>
      </w:r>
      <w:r>
        <w:rPr>
          <w:rFonts w:hint="eastAsia" w:ascii="Times New Roman" w:hAnsi="Times New Roman" w:eastAsia="宋体" w:cs="Times New Roman"/>
          <w:szCs w:val="21"/>
        </w:rPr>
        <w:t>）学历情况</w:t>
      </w: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本次问卷调查参与者的学历情况如下图表，其中初中以下学历的人有</w:t>
      </w:r>
      <w:r>
        <w:rPr>
          <w:rFonts w:ascii="Times New Roman" w:hAnsi="Times New Roman" w:eastAsia="宋体" w:cs="Times New Roman"/>
          <w:szCs w:val="21"/>
        </w:rPr>
        <w:t>112</w:t>
      </w:r>
      <w:r>
        <w:rPr>
          <w:rFonts w:hint="eastAsia" w:ascii="Times New Roman" w:hAnsi="Times New Roman" w:eastAsia="宋体" w:cs="Times New Roman"/>
          <w:szCs w:val="21"/>
        </w:rPr>
        <w:t>人，占总样本数的</w:t>
      </w:r>
      <w:r>
        <w:rPr>
          <w:rFonts w:ascii="Times New Roman" w:hAnsi="Times New Roman" w:eastAsia="宋体" w:cs="Times New Roman"/>
          <w:szCs w:val="21"/>
        </w:rPr>
        <w:t>14.0%</w:t>
      </w:r>
      <w:r>
        <w:rPr>
          <w:rFonts w:hint="eastAsia" w:ascii="Times New Roman" w:hAnsi="Times New Roman" w:eastAsia="宋体" w:cs="Times New Roman"/>
          <w:szCs w:val="21"/>
        </w:rPr>
        <w:t>；具有高中学历的人有</w:t>
      </w:r>
      <w:r>
        <w:rPr>
          <w:rFonts w:ascii="Times New Roman" w:hAnsi="Times New Roman" w:eastAsia="宋体" w:cs="Times New Roman"/>
          <w:szCs w:val="21"/>
        </w:rPr>
        <w:t>94</w:t>
      </w:r>
      <w:r>
        <w:rPr>
          <w:rFonts w:hint="eastAsia" w:ascii="Times New Roman" w:hAnsi="Times New Roman" w:eastAsia="宋体" w:cs="Times New Roman"/>
          <w:szCs w:val="21"/>
        </w:rPr>
        <w:t>人，占总样本数</w:t>
      </w:r>
      <w:r>
        <w:rPr>
          <w:rFonts w:ascii="Times New Roman" w:hAnsi="Times New Roman" w:eastAsia="宋体" w:cs="Times New Roman"/>
          <w:szCs w:val="21"/>
        </w:rPr>
        <w:t>11.8%</w:t>
      </w:r>
      <w:r>
        <w:rPr>
          <w:rFonts w:hint="eastAsia" w:ascii="Times New Roman" w:hAnsi="Times New Roman" w:eastAsia="宋体" w:cs="Times New Roman"/>
          <w:szCs w:val="21"/>
        </w:rPr>
        <w:t>；具有中专或者大专学历的人有</w:t>
      </w:r>
      <w:r>
        <w:rPr>
          <w:rFonts w:ascii="Times New Roman" w:hAnsi="Times New Roman" w:eastAsia="宋体" w:cs="Times New Roman"/>
          <w:szCs w:val="21"/>
        </w:rPr>
        <w:t>185</w:t>
      </w:r>
      <w:r>
        <w:rPr>
          <w:rFonts w:hint="eastAsia" w:ascii="Times New Roman" w:hAnsi="Times New Roman" w:eastAsia="宋体" w:cs="Times New Roman"/>
          <w:szCs w:val="21"/>
        </w:rPr>
        <w:t>人，占总样本数的</w:t>
      </w:r>
      <w:r>
        <w:rPr>
          <w:rFonts w:ascii="Times New Roman" w:hAnsi="Times New Roman" w:eastAsia="宋体" w:cs="Times New Roman"/>
          <w:szCs w:val="21"/>
        </w:rPr>
        <w:t>23.1%</w:t>
      </w:r>
      <w:r>
        <w:rPr>
          <w:rFonts w:hint="eastAsia" w:ascii="Times New Roman" w:hAnsi="Times New Roman" w:eastAsia="宋体" w:cs="Times New Roman"/>
          <w:szCs w:val="21"/>
        </w:rPr>
        <w:t>；具有大学本科学历的人有</w:t>
      </w:r>
      <w:r>
        <w:rPr>
          <w:rFonts w:ascii="Times New Roman" w:hAnsi="Times New Roman" w:eastAsia="宋体" w:cs="Times New Roman"/>
          <w:szCs w:val="21"/>
        </w:rPr>
        <w:t>288</w:t>
      </w:r>
      <w:r>
        <w:rPr>
          <w:rFonts w:hint="eastAsia" w:ascii="Times New Roman" w:hAnsi="Times New Roman" w:eastAsia="宋体" w:cs="Times New Roman"/>
          <w:szCs w:val="21"/>
        </w:rPr>
        <w:t>人，占总样本数的</w:t>
      </w:r>
      <w:r>
        <w:rPr>
          <w:rFonts w:ascii="Times New Roman" w:hAnsi="Times New Roman" w:eastAsia="宋体" w:cs="Times New Roman"/>
          <w:szCs w:val="21"/>
        </w:rPr>
        <w:t>36.0%</w:t>
      </w:r>
      <w:r>
        <w:rPr>
          <w:rFonts w:hint="eastAsia" w:ascii="Times New Roman" w:hAnsi="Times New Roman" w:eastAsia="宋体" w:cs="Times New Roman"/>
          <w:szCs w:val="21"/>
        </w:rPr>
        <w:t>；具有大学本科以上学历的人有</w:t>
      </w:r>
      <w:r>
        <w:rPr>
          <w:rFonts w:ascii="Times New Roman" w:hAnsi="Times New Roman" w:eastAsia="宋体" w:cs="Times New Roman"/>
          <w:szCs w:val="21"/>
        </w:rPr>
        <w:t>121</w:t>
      </w:r>
      <w:r>
        <w:rPr>
          <w:rFonts w:hint="eastAsia" w:ascii="Times New Roman" w:hAnsi="Times New Roman" w:eastAsia="宋体" w:cs="Times New Roman"/>
          <w:szCs w:val="21"/>
        </w:rPr>
        <w:t>人，占总样本数的</w:t>
      </w:r>
      <w:r>
        <w:rPr>
          <w:rFonts w:ascii="Times New Roman" w:hAnsi="Times New Roman" w:eastAsia="宋体" w:cs="Times New Roman"/>
          <w:szCs w:val="21"/>
        </w:rPr>
        <w:t>15.1%</w:t>
      </w:r>
      <w:r>
        <w:rPr>
          <w:rFonts w:hint="eastAsia" w:ascii="Times New Roman" w:hAnsi="Times New Roman" w:eastAsia="宋体" w:cs="Times New Roman"/>
          <w:szCs w:val="21"/>
        </w:rPr>
        <w:t>。</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5.4</w:t>
      </w:r>
      <w:r>
        <w:rPr>
          <w:rFonts w:hint="eastAsia" w:ascii="Times New Roman" w:hAnsi="Times New Roman" w:eastAsia="宋体" w:cs="Times New Roman"/>
          <w:sz w:val="21"/>
          <w:szCs w:val="21"/>
        </w:rPr>
        <w:t>学历</w:t>
      </w:r>
    </w:p>
    <w:tbl>
      <w:tblPr>
        <w:tblStyle w:val="21"/>
        <w:tblW w:w="5895" w:type="dxa"/>
        <w:tblInd w:w="127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
        <w:gridCol w:w="1499"/>
        <w:gridCol w:w="851"/>
        <w:gridCol w:w="991"/>
        <w:gridCol w:w="1263"/>
        <w:gridCol w:w="124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543"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学历</w:t>
            </w:r>
          </w:p>
        </w:tc>
        <w:tc>
          <w:tcPr>
            <w:tcW w:w="851"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频率</w:t>
            </w:r>
          </w:p>
        </w:tc>
        <w:tc>
          <w:tcPr>
            <w:tcW w:w="991"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百分比</w:t>
            </w:r>
          </w:p>
        </w:tc>
        <w:tc>
          <w:tcPr>
            <w:tcW w:w="1263"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有效百分比</w:t>
            </w:r>
          </w:p>
        </w:tc>
        <w:tc>
          <w:tcPr>
            <w:tcW w:w="1247"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restart"/>
            <w:tcBorders>
              <w:top w:val="single" w:color="000000" w:sz="18" w:space="0"/>
              <w:left w:val="single" w:color="000000" w:sz="18" w:space="0"/>
              <w:bottom w:val="single" w:color="000000" w:sz="18" w:space="0"/>
              <w:right w:val="nil"/>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w:t>
            </w:r>
          </w:p>
        </w:tc>
        <w:tc>
          <w:tcPr>
            <w:tcW w:w="1499" w:type="dxa"/>
            <w:tcBorders>
              <w:top w:val="single" w:color="000000" w:sz="18" w:space="0"/>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初中以下</w:t>
            </w:r>
          </w:p>
        </w:tc>
        <w:tc>
          <w:tcPr>
            <w:tcW w:w="851" w:type="dxa"/>
            <w:tcBorders>
              <w:top w:val="single" w:color="000000" w:sz="18" w:space="0"/>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112</w:t>
            </w:r>
          </w:p>
        </w:tc>
        <w:tc>
          <w:tcPr>
            <w:tcW w:w="991"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14.0</w:t>
            </w:r>
          </w:p>
        </w:tc>
        <w:tc>
          <w:tcPr>
            <w:tcW w:w="1263"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14.0</w:t>
            </w:r>
          </w:p>
        </w:tc>
        <w:tc>
          <w:tcPr>
            <w:tcW w:w="1247" w:type="dxa"/>
            <w:tcBorders>
              <w:top w:val="single" w:color="000000" w:sz="18" w:space="0"/>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1499"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高中</w:t>
            </w:r>
          </w:p>
        </w:tc>
        <w:tc>
          <w:tcPr>
            <w:tcW w:w="851"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94</w:t>
            </w:r>
          </w:p>
        </w:tc>
        <w:tc>
          <w:tcPr>
            <w:tcW w:w="991"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11.8</w:t>
            </w:r>
          </w:p>
        </w:tc>
        <w:tc>
          <w:tcPr>
            <w:tcW w:w="1263"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11.8</w:t>
            </w:r>
          </w:p>
        </w:tc>
        <w:tc>
          <w:tcPr>
            <w:tcW w:w="1247"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1499"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中专或者大专</w:t>
            </w:r>
          </w:p>
        </w:tc>
        <w:tc>
          <w:tcPr>
            <w:tcW w:w="851"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185</w:t>
            </w:r>
          </w:p>
        </w:tc>
        <w:tc>
          <w:tcPr>
            <w:tcW w:w="991"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23.1</w:t>
            </w:r>
          </w:p>
        </w:tc>
        <w:tc>
          <w:tcPr>
            <w:tcW w:w="1263"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23.1</w:t>
            </w:r>
          </w:p>
        </w:tc>
        <w:tc>
          <w:tcPr>
            <w:tcW w:w="1247"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1499"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大学本科</w:t>
            </w:r>
          </w:p>
        </w:tc>
        <w:tc>
          <w:tcPr>
            <w:tcW w:w="851"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288</w:t>
            </w:r>
          </w:p>
        </w:tc>
        <w:tc>
          <w:tcPr>
            <w:tcW w:w="991"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36.0</w:t>
            </w:r>
          </w:p>
        </w:tc>
        <w:tc>
          <w:tcPr>
            <w:tcW w:w="1263"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36.0</w:t>
            </w:r>
          </w:p>
        </w:tc>
        <w:tc>
          <w:tcPr>
            <w:tcW w:w="1247"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1499"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大学本科以上</w:t>
            </w:r>
          </w:p>
        </w:tc>
        <w:tc>
          <w:tcPr>
            <w:tcW w:w="851"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121</w:t>
            </w:r>
          </w:p>
        </w:tc>
        <w:tc>
          <w:tcPr>
            <w:tcW w:w="991"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15.1</w:t>
            </w:r>
          </w:p>
        </w:tc>
        <w:tc>
          <w:tcPr>
            <w:tcW w:w="1263"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15.1</w:t>
            </w:r>
          </w:p>
        </w:tc>
        <w:tc>
          <w:tcPr>
            <w:tcW w:w="1247"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1499" w:type="dxa"/>
            <w:tcBorders>
              <w:top w:val="nil"/>
              <w:left w:val="nil"/>
              <w:bottom w:val="single" w:color="000000" w:sz="18" w:space="0"/>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合计</w:t>
            </w:r>
          </w:p>
        </w:tc>
        <w:tc>
          <w:tcPr>
            <w:tcW w:w="851" w:type="dxa"/>
            <w:tcBorders>
              <w:top w:val="nil"/>
              <w:left w:val="single" w:color="000000" w:sz="1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991"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63"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47" w:type="dxa"/>
            <w:tcBorders>
              <w:top w:val="nil"/>
              <w:left w:val="single" w:color="000000" w:sz="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p>
        </w:tc>
      </w:tr>
    </w:tbl>
    <w:p>
      <w:pPr>
        <w:spacing w:line="300" w:lineRule="auto"/>
        <w:jc w:val="center"/>
        <w:rPr>
          <w:rFonts w:ascii="Times New Roman" w:hAnsi="Times New Roman" w:eastAsia="宋体" w:cs="Times New Roman"/>
          <w:szCs w:val="21"/>
        </w:rPr>
      </w:pPr>
    </w:p>
    <w:p>
      <w:pPr>
        <w:spacing w:line="300" w:lineRule="auto"/>
        <w:ind w:firstLine="480" w:firstLineChars="200"/>
      </w:pPr>
      <w:r>
        <w:rPr>
          <w:rFonts w:hint="eastAsia"/>
        </w:rPr>
        <w:t>（一）立法的宣传贯彻情况</w:t>
      </w:r>
    </w:p>
    <w:p>
      <w:pPr>
        <w:spacing w:line="300" w:lineRule="auto"/>
        <w:ind w:firstLine="480" w:firstLineChars="200"/>
      </w:pPr>
      <w:r>
        <w:rPr>
          <w:rFonts w:hint="eastAsia"/>
        </w:rPr>
        <w:t>《办法》自</w:t>
      </w:r>
      <w:r>
        <w:t>2012</w:t>
      </w:r>
      <w:r>
        <w:rPr>
          <w:rFonts w:hint="eastAsia"/>
        </w:rPr>
        <w:t>年</w:t>
      </w:r>
      <w:r>
        <w:t>9</w:t>
      </w:r>
      <w:r>
        <w:rPr>
          <w:rFonts w:hint="eastAsia"/>
        </w:rPr>
        <w:t>月</w:t>
      </w:r>
      <w:r>
        <w:t>1</w:t>
      </w:r>
      <w:r>
        <w:rPr>
          <w:rFonts w:hint="eastAsia"/>
        </w:rPr>
        <w:t>日实施以来，立法宣传贯彻取得了较好的效果。本次通过对参与问卷调查的社会公众在该《办法》推行后对其的知晓情况以及应用情况进行统计分析出该《办法》的立法宣传贯彻效果，从而进行立体评估。</w:t>
      </w:r>
      <w:bookmarkStart w:id="3" w:name="_Hlk516152952"/>
    </w:p>
    <w:p>
      <w:pPr>
        <w:spacing w:line="300" w:lineRule="auto"/>
        <w:ind w:firstLine="480" w:firstLineChars="200"/>
      </w:pPr>
      <w:r>
        <w:t>1.</w:t>
      </w:r>
      <w:r>
        <w:rPr>
          <w:rFonts w:hint="eastAsia"/>
        </w:rPr>
        <w:t>立法宣传效果</w:t>
      </w:r>
    </w:p>
    <w:p>
      <w:pPr>
        <w:spacing w:line="300" w:lineRule="auto"/>
        <w:ind w:firstLine="480" w:firstLineChars="200"/>
      </w:pPr>
      <w:r>
        <w:rPr>
          <w:rFonts w:hint="eastAsia"/>
        </w:rPr>
        <w:t>第一，整体情况分析</w:t>
      </w:r>
    </w:p>
    <w:p>
      <w:pPr>
        <w:spacing w:line="300" w:lineRule="auto"/>
        <w:ind w:firstLine="480" w:firstLineChars="200"/>
        <w:rPr>
          <w:rFonts w:ascii="Times New Roman" w:hAnsi="Times New Roman" w:eastAsia="宋体" w:cs="Times New Roman"/>
          <w:sz w:val="32"/>
          <w:szCs w:val="21"/>
        </w:rPr>
      </w:pPr>
      <w:r>
        <w:rPr>
          <w:rFonts w:hint="eastAsia"/>
        </w:rPr>
        <w:t>就调查整体情况而言，《办法》的宣传效果较好。本次参与此项调查的样本总数为</w:t>
      </w:r>
      <w:r>
        <w:t>800</w:t>
      </w:r>
      <w:r>
        <w:rPr>
          <w:rFonts w:hint="eastAsia"/>
        </w:rPr>
        <w:t>人，调查情况如下表，其中学习过的人有</w:t>
      </w:r>
      <w:r>
        <w:t>81</w:t>
      </w:r>
      <w:r>
        <w:rPr>
          <w:rFonts w:hint="eastAsia"/>
        </w:rPr>
        <w:t>人，占总样本人数的</w:t>
      </w:r>
      <w:r>
        <w:t>10.1%</w:t>
      </w:r>
      <w:r>
        <w:rPr>
          <w:rFonts w:hint="eastAsia"/>
        </w:rPr>
        <w:t>，看过的人有</w:t>
      </w:r>
      <w:r>
        <w:t>202</w:t>
      </w:r>
      <w:r>
        <w:rPr>
          <w:rFonts w:hint="eastAsia"/>
        </w:rPr>
        <w:t>人，占总样本人数的</w:t>
      </w:r>
      <w:r>
        <w:t>25.3%</w:t>
      </w:r>
      <w:r>
        <w:rPr>
          <w:rFonts w:hint="eastAsia"/>
        </w:rPr>
        <w:t>，听说过的人有</w:t>
      </w:r>
      <w:r>
        <w:t>368</w:t>
      </w:r>
      <w:r>
        <w:rPr>
          <w:rFonts w:hint="eastAsia"/>
        </w:rPr>
        <w:t>人，占总样本人数的</w:t>
      </w:r>
      <w:r>
        <w:t>46.0%</w:t>
      </w:r>
      <w:r>
        <w:rPr>
          <w:rFonts w:hint="eastAsia"/>
        </w:rPr>
        <w:t>，不知道的人有</w:t>
      </w:r>
      <w:r>
        <w:t>149</w:t>
      </w:r>
      <w:r>
        <w:rPr>
          <w:rFonts w:hint="eastAsia"/>
        </w:rPr>
        <w:t>人，占总样本人数的</w:t>
      </w:r>
      <w:r>
        <w:t>18.6%</w:t>
      </w:r>
      <w:r>
        <w:rPr>
          <w:rFonts w:hint="eastAsia"/>
        </w:rPr>
        <w:t>。</w:t>
      </w:r>
    </w:p>
    <w:bookmarkEnd w:id="3"/>
    <w:tbl>
      <w:tblPr>
        <w:tblStyle w:val="21"/>
        <w:tblW w:w="5535" w:type="dxa"/>
        <w:tblInd w:w="127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962"/>
        <w:gridCol w:w="988"/>
        <w:gridCol w:w="909"/>
        <w:gridCol w:w="1225"/>
        <w:gridCol w:w="140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535" w:type="dxa"/>
            <w:gridSpan w:val="6"/>
            <w:tcBorders>
              <w:top w:val="nil"/>
              <w:left w:val="nil"/>
              <w:bottom w:val="nil"/>
              <w:right w:val="nil"/>
            </w:tcBorders>
            <w:shd w:val="clear" w:color="auto" w:fill="FFFFFF"/>
            <w:vAlign w:val="center"/>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bCs/>
                <w:sz w:val="21"/>
                <w:szCs w:val="21"/>
              </w:rPr>
              <w:t>表</w:t>
            </w:r>
            <w:r>
              <w:rPr>
                <w:rFonts w:ascii="Times New Roman" w:hAnsi="Times New Roman" w:eastAsia="宋体" w:cs="Times New Roman"/>
                <w:bCs/>
                <w:sz w:val="21"/>
                <w:szCs w:val="21"/>
              </w:rPr>
              <w:t>5.5</w:t>
            </w:r>
            <w:r>
              <w:rPr>
                <w:rFonts w:hint="eastAsia" w:ascii="Times New Roman" w:hAnsi="Times New Roman" w:eastAsia="宋体" w:cs="Times New Roman"/>
                <w:bCs/>
                <w:sz w:val="21"/>
                <w:szCs w:val="21"/>
              </w:rPr>
              <w:t>您知道《武汉市社会办养老福利机构管理办法》吗？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005"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p>
        </w:tc>
        <w:tc>
          <w:tcPr>
            <w:tcW w:w="988"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频率</w:t>
            </w:r>
          </w:p>
        </w:tc>
        <w:tc>
          <w:tcPr>
            <w:tcW w:w="909"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百分比</w:t>
            </w:r>
          </w:p>
        </w:tc>
        <w:tc>
          <w:tcPr>
            <w:tcW w:w="1225"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有效百分比</w:t>
            </w:r>
          </w:p>
        </w:tc>
        <w:tc>
          <w:tcPr>
            <w:tcW w:w="1408"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有效</w:t>
            </w:r>
          </w:p>
        </w:tc>
        <w:tc>
          <w:tcPr>
            <w:tcW w:w="962" w:type="dxa"/>
            <w:tcBorders>
              <w:top w:val="single" w:color="000000" w:sz="18" w:space="0"/>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学习过</w:t>
            </w:r>
          </w:p>
        </w:tc>
        <w:tc>
          <w:tcPr>
            <w:tcW w:w="988" w:type="dxa"/>
            <w:tcBorders>
              <w:top w:val="single" w:color="000000" w:sz="18" w:space="0"/>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81</w:t>
            </w:r>
          </w:p>
        </w:tc>
        <w:tc>
          <w:tcPr>
            <w:tcW w:w="909"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10.1</w:t>
            </w:r>
          </w:p>
        </w:tc>
        <w:tc>
          <w:tcPr>
            <w:tcW w:w="1225" w:type="dxa"/>
            <w:tcBorders>
              <w:top w:val="single" w:color="000000" w:sz="18" w:space="0"/>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10.1</w:t>
            </w:r>
          </w:p>
        </w:tc>
        <w:tc>
          <w:tcPr>
            <w:tcW w:w="1408" w:type="dxa"/>
            <w:tcBorders>
              <w:top w:val="single" w:color="000000" w:sz="18" w:space="0"/>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62"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看过</w:t>
            </w:r>
          </w:p>
        </w:tc>
        <w:tc>
          <w:tcPr>
            <w:tcW w:w="988"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202</w:t>
            </w:r>
          </w:p>
        </w:tc>
        <w:tc>
          <w:tcPr>
            <w:tcW w:w="90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25.3</w:t>
            </w:r>
          </w:p>
        </w:tc>
        <w:tc>
          <w:tcPr>
            <w:tcW w:w="122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25.3</w:t>
            </w:r>
          </w:p>
        </w:tc>
        <w:tc>
          <w:tcPr>
            <w:tcW w:w="1408"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62"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听说过</w:t>
            </w:r>
          </w:p>
        </w:tc>
        <w:tc>
          <w:tcPr>
            <w:tcW w:w="988"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368</w:t>
            </w:r>
          </w:p>
        </w:tc>
        <w:tc>
          <w:tcPr>
            <w:tcW w:w="90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46.0</w:t>
            </w:r>
          </w:p>
        </w:tc>
        <w:tc>
          <w:tcPr>
            <w:tcW w:w="122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46.0</w:t>
            </w:r>
          </w:p>
        </w:tc>
        <w:tc>
          <w:tcPr>
            <w:tcW w:w="1408"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62" w:type="dxa"/>
            <w:tcBorders>
              <w:top w:val="nil"/>
              <w:left w:val="nil"/>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不知道</w:t>
            </w:r>
          </w:p>
        </w:tc>
        <w:tc>
          <w:tcPr>
            <w:tcW w:w="988" w:type="dxa"/>
            <w:tcBorders>
              <w:top w:val="nil"/>
              <w:left w:val="single" w:color="000000" w:sz="1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149</w:t>
            </w:r>
          </w:p>
        </w:tc>
        <w:tc>
          <w:tcPr>
            <w:tcW w:w="909"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18.6</w:t>
            </w:r>
          </w:p>
        </w:tc>
        <w:tc>
          <w:tcPr>
            <w:tcW w:w="1225" w:type="dxa"/>
            <w:tcBorders>
              <w:top w:val="nil"/>
              <w:left w:val="single" w:color="000000" w:sz="8" w:space="0"/>
              <w:bottom w:val="nil"/>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18.6</w:t>
            </w:r>
          </w:p>
        </w:tc>
        <w:tc>
          <w:tcPr>
            <w:tcW w:w="1408" w:type="dxa"/>
            <w:tcBorders>
              <w:top w:val="nil"/>
              <w:left w:val="single" w:color="000000" w:sz="8" w:space="0"/>
              <w:bottom w:val="nil"/>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sz w:val="21"/>
                <w:szCs w:val="21"/>
              </w:rPr>
            </w:pPr>
          </w:p>
        </w:tc>
        <w:tc>
          <w:tcPr>
            <w:tcW w:w="962" w:type="dxa"/>
            <w:tcBorders>
              <w:top w:val="nil"/>
              <w:left w:val="nil"/>
              <w:bottom w:val="single" w:color="000000" w:sz="18" w:space="0"/>
              <w:right w:val="single" w:color="000000" w:sz="1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合计</w:t>
            </w:r>
          </w:p>
        </w:tc>
        <w:tc>
          <w:tcPr>
            <w:tcW w:w="988" w:type="dxa"/>
            <w:tcBorders>
              <w:top w:val="nil"/>
              <w:left w:val="single" w:color="000000" w:sz="1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800</w:t>
            </w:r>
          </w:p>
        </w:tc>
        <w:tc>
          <w:tcPr>
            <w:tcW w:w="909"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25" w:type="dxa"/>
            <w:tcBorders>
              <w:top w:val="nil"/>
              <w:left w:val="single" w:color="000000" w:sz="8" w:space="0"/>
              <w:bottom w:val="single" w:color="000000" w:sz="18" w:space="0"/>
              <w:right w:val="single" w:color="000000" w:sz="8" w:space="0"/>
            </w:tcBorders>
            <w:shd w:val="clear" w:color="auto" w:fill="FFFFFF"/>
          </w:tcPr>
          <w:p>
            <w:pPr>
              <w:spacing w:line="300" w:lineRule="auto"/>
              <w:ind w:left="60" w:right="60"/>
              <w:jc w:val="center"/>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408" w:type="dxa"/>
            <w:tcBorders>
              <w:top w:val="nil"/>
              <w:left w:val="single" w:color="000000" w:sz="8" w:space="0"/>
              <w:bottom w:val="single" w:color="000000" w:sz="18" w:space="0"/>
              <w:right w:val="single" w:color="000000" w:sz="18" w:space="0"/>
            </w:tcBorders>
            <w:shd w:val="clear" w:color="auto" w:fill="FFFFFF"/>
            <w:vAlign w:val="center"/>
          </w:tcPr>
          <w:p>
            <w:pPr>
              <w:spacing w:line="300" w:lineRule="auto"/>
              <w:jc w:val="center"/>
              <w:rPr>
                <w:rFonts w:ascii="Times New Roman" w:hAnsi="Times New Roman" w:eastAsia="宋体" w:cs="Times New Roman"/>
                <w:sz w:val="21"/>
                <w:szCs w:val="21"/>
              </w:rPr>
            </w:pPr>
          </w:p>
        </w:tc>
      </w:tr>
    </w:tbl>
    <w:p>
      <w:pPr>
        <w:spacing w:line="300" w:lineRule="auto"/>
        <w:ind w:firstLine="420" w:firstLineChars="200"/>
        <w:rPr>
          <w:sz w:val="21"/>
        </w:rPr>
      </w:pPr>
    </w:p>
    <w:p>
      <w:pPr>
        <w:spacing w:line="300" w:lineRule="auto"/>
        <w:ind w:firstLine="480" w:firstLineChars="200"/>
      </w:pPr>
      <w:r>
        <w:rPr>
          <w:rFonts w:hint="eastAsia"/>
        </w:rPr>
        <w:t>从上表中不难看出，有</w:t>
      </w:r>
      <w:r>
        <w:t>81.4%</w:t>
      </w:r>
      <w:r>
        <w:rPr>
          <w:rFonts w:hint="eastAsia"/>
        </w:rPr>
        <w:t>的参与调查的公众对于推行的《办法》具有一定程度的了解，这表明在该《办法》推行至今，其宣传规模较广，达到了较为普及的程度。这说明从总体来看宣传效果较为理想，大部分公众都或多或少对此都有一定程度的知悉。</w:t>
      </w:r>
      <w:bookmarkStart w:id="4" w:name="_Hlk516155089"/>
    </w:p>
    <w:p>
      <w:pPr>
        <w:spacing w:line="300" w:lineRule="auto"/>
        <w:ind w:firstLine="480" w:firstLineChars="200"/>
      </w:pPr>
      <w:r>
        <w:rPr>
          <w:rFonts w:hint="eastAsia"/>
        </w:rPr>
        <w:t>第二，差异化分析</w:t>
      </w:r>
    </w:p>
    <w:bookmarkEnd w:id="4"/>
    <w:p>
      <w:pPr>
        <w:spacing w:line="300" w:lineRule="auto"/>
        <w:ind w:firstLine="480" w:firstLineChars="200"/>
      </w:pPr>
      <w:r>
        <w:fldChar w:fldCharType="begin"/>
      </w:r>
      <w:r>
        <w:instrText xml:space="preserve"> = 1 \* GB3 </w:instrText>
      </w:r>
      <w:r>
        <w:fldChar w:fldCharType="separate"/>
      </w:r>
      <w:r>
        <w:rPr>
          <w:rFonts w:hint="eastAsia"/>
        </w:rPr>
        <w:t>①</w:t>
      </w:r>
      <w:r>
        <w:fldChar w:fldCharType="end"/>
      </w:r>
      <w:r>
        <w:rPr>
          <w:rFonts w:hint="eastAsia"/>
        </w:rPr>
        <w:t>年龄分析：</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bCs/>
          <w:sz w:val="21"/>
          <w:szCs w:val="21"/>
        </w:rPr>
        <w:t>表</w:t>
      </w:r>
      <w:r>
        <w:rPr>
          <w:rFonts w:ascii="Times New Roman" w:hAnsi="Times New Roman" w:eastAsia="宋体" w:cs="Times New Roman"/>
          <w:sz w:val="21"/>
          <w:szCs w:val="21"/>
        </w:rPr>
        <w:t>5.6</w:t>
      </w:r>
    </w:p>
    <w:tbl>
      <w:tblPr>
        <w:tblStyle w:val="21"/>
        <w:tblpPr w:leftFromText="180" w:rightFromText="180" w:vertAnchor="text" w:tblpX="343" w:tblpY="1"/>
        <w:tblOverlap w:val="never"/>
        <w:tblW w:w="7755"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30"/>
        <w:gridCol w:w="979"/>
        <w:gridCol w:w="1276"/>
        <w:gridCol w:w="1272"/>
        <w:gridCol w:w="1276"/>
        <w:gridCol w:w="1276"/>
        <w:gridCol w:w="114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cantSplit/>
          <w:trHeight w:val="188" w:hRule="atLeast"/>
          <w:tblHeader/>
        </w:trPr>
        <w:tc>
          <w:tcPr>
            <w:tcW w:w="1509"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rPr>
                <w:rFonts w:ascii="Times New Roman" w:hAnsi="Times New Roman" w:eastAsia="宋体" w:cs="Times New Roman"/>
                <w:kern w:val="0"/>
                <w:sz w:val="21"/>
                <w:szCs w:val="21"/>
              </w:rPr>
            </w:pPr>
          </w:p>
        </w:tc>
        <w:tc>
          <w:tcPr>
            <w:tcW w:w="510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您知道《武汉市社会办养老福利机构管理办法》吗？</w:t>
            </w:r>
          </w:p>
        </w:tc>
        <w:tc>
          <w:tcPr>
            <w:tcW w:w="1146"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6" w:hRule="atLeast"/>
          <w:tblHeader/>
        </w:trPr>
        <w:tc>
          <w:tcPr>
            <w:tcW w:w="1509"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学习过</w:t>
            </w:r>
          </w:p>
        </w:tc>
        <w:tc>
          <w:tcPr>
            <w:tcW w:w="127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看过</w:t>
            </w:r>
          </w:p>
        </w:tc>
        <w:tc>
          <w:tcPr>
            <w:tcW w:w="12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听说过</w:t>
            </w:r>
          </w:p>
        </w:tc>
        <w:tc>
          <w:tcPr>
            <w:tcW w:w="12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1146"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92" w:hRule="atLeast"/>
          <w:tblHeader/>
        </w:trPr>
        <w:tc>
          <w:tcPr>
            <w:tcW w:w="530"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97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27.2%</w:t>
            </w:r>
          </w:p>
        </w:tc>
        <w:tc>
          <w:tcPr>
            <w:tcW w:w="127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25.7%</w:t>
            </w:r>
          </w:p>
        </w:tc>
        <w:tc>
          <w:tcPr>
            <w:tcW w:w="12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2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58.4%</w:t>
            </w:r>
          </w:p>
        </w:tc>
        <w:tc>
          <w:tcPr>
            <w:tcW w:w="1146"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6" w:hRule="atLeast"/>
          <w:tblHeader/>
        </w:trPr>
        <w:tc>
          <w:tcPr>
            <w:tcW w:w="53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97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45.7%</w:t>
            </w:r>
          </w:p>
        </w:tc>
        <w:tc>
          <w:tcPr>
            <w:tcW w:w="12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39.6%</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40.8%</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23.5%</w:t>
            </w:r>
          </w:p>
        </w:tc>
        <w:tc>
          <w:tcPr>
            <w:tcW w:w="114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6" w:hRule="atLeast"/>
          <w:tblHeader/>
        </w:trPr>
        <w:tc>
          <w:tcPr>
            <w:tcW w:w="53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97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12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20.3%</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21.2%</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c>
          <w:tcPr>
            <w:tcW w:w="114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6" w:hRule="atLeast"/>
          <w:tblHeader/>
        </w:trPr>
        <w:tc>
          <w:tcPr>
            <w:tcW w:w="53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97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6.2%</w:t>
            </w:r>
          </w:p>
        </w:tc>
        <w:tc>
          <w:tcPr>
            <w:tcW w:w="12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14.4%</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w:t>
            </w:r>
          </w:p>
        </w:tc>
        <w:tc>
          <w:tcPr>
            <w:tcW w:w="114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92" w:hRule="atLeast"/>
        </w:trPr>
        <w:tc>
          <w:tcPr>
            <w:tcW w:w="1509"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46"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autoSpaceDE w:val="0"/>
        <w:autoSpaceDN w:val="0"/>
        <w:adjustRightInd w:val="0"/>
        <w:spacing w:line="300" w:lineRule="auto"/>
        <w:jc w:val="left"/>
        <w:rPr>
          <w:rFonts w:ascii="Times New Roman" w:hAnsi="Times New Roman" w:cs="Times New Roman"/>
          <w:kern w:val="0"/>
        </w:rPr>
      </w:pPr>
    </w:p>
    <w:p>
      <w:pPr>
        <w:spacing w:line="300" w:lineRule="auto"/>
        <w:ind w:firstLine="480" w:firstLineChars="200"/>
      </w:pPr>
      <w:r>
        <w:rPr>
          <w:rFonts w:hint="eastAsia"/>
        </w:rPr>
        <w:t>从上表可以看出出，无论在哪个年龄阶层，对于该《办法》的知晓情况大致相同，但是在没有达到宣传效果的样本中，</w:t>
      </w:r>
      <w:r>
        <w:t>18</w:t>
      </w:r>
      <w:r>
        <w:rPr>
          <w:rFonts w:hint="eastAsia"/>
        </w:rPr>
        <w:t>至</w:t>
      </w:r>
      <w:r>
        <w:t>30</w:t>
      </w:r>
      <w:r>
        <w:rPr>
          <w:rFonts w:hint="eastAsia"/>
        </w:rPr>
        <w:t>岁这一年龄阶层占比较大，而其他年龄阶层的占比均远小于达到宣传效果的占比，由此可见《办法》的宣传效果在</w:t>
      </w:r>
      <w:r>
        <w:t>18</w:t>
      </w:r>
      <w:r>
        <w:rPr>
          <w:rFonts w:hint="eastAsia"/>
        </w:rPr>
        <w:t>至</w:t>
      </w:r>
      <w:r>
        <w:t>30</w:t>
      </w:r>
      <w:r>
        <w:rPr>
          <w:rFonts w:hint="eastAsia"/>
        </w:rPr>
        <w:t>岁这一年龄阶层不够理想。</w:t>
      </w:r>
    </w:p>
    <w:p>
      <w:pPr>
        <w:spacing w:line="300" w:lineRule="auto"/>
        <w:ind w:firstLine="480" w:firstLineChars="200"/>
      </w:pPr>
      <w:r>
        <w:fldChar w:fldCharType="begin"/>
      </w:r>
      <w:r>
        <w:instrText xml:space="preserve"> = 2 \* GB3 </w:instrText>
      </w:r>
      <w:r>
        <w:fldChar w:fldCharType="separate"/>
      </w:r>
      <w:r>
        <w:rPr>
          <w:rFonts w:hint="eastAsia"/>
        </w:rPr>
        <w:t>②</w:t>
      </w:r>
      <w:r>
        <w:rPr>
          <w:rFonts w:hint="eastAsia"/>
        </w:rPr>
        <w:fldChar w:fldCharType="end"/>
      </w:r>
      <w:r>
        <w:rPr>
          <w:rFonts w:hint="eastAsia"/>
        </w:rPr>
        <w:t>职业分析</w:t>
      </w:r>
      <w:r>
        <w:t>:</w:t>
      </w:r>
    </w:p>
    <w:p>
      <w:pPr>
        <w:spacing w:line="300" w:lineRule="auto"/>
        <w:ind w:firstLine="420" w:firstLineChars="200"/>
        <w:jc w:val="center"/>
        <w:rPr>
          <w:sz w:val="21"/>
        </w:rPr>
      </w:pPr>
      <w:r>
        <w:rPr>
          <w:rFonts w:hint="eastAsia"/>
          <w:sz w:val="21"/>
        </w:rPr>
        <w:t>表</w:t>
      </w:r>
      <w:r>
        <w:rPr>
          <w:sz w:val="21"/>
        </w:rPr>
        <w:t>5.7</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2103"/>
        <w:gridCol w:w="1277"/>
        <w:gridCol w:w="1135"/>
        <w:gridCol w:w="993"/>
        <w:gridCol w:w="1135"/>
        <w:gridCol w:w="9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2836"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454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您知道《武汉市社会办养老福利机构管理办法》吗？</w:t>
            </w:r>
          </w:p>
        </w:tc>
        <w:tc>
          <w:tcPr>
            <w:tcW w:w="99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2836"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7"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学习过</w:t>
            </w:r>
          </w:p>
        </w:tc>
        <w:tc>
          <w:tcPr>
            <w:tcW w:w="11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看过</w:t>
            </w:r>
          </w:p>
        </w:tc>
        <w:tc>
          <w:tcPr>
            <w:tcW w:w="99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听说过</w:t>
            </w:r>
          </w:p>
        </w:tc>
        <w:tc>
          <w:tcPr>
            <w:tcW w:w="11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99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103"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7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34.6%</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22.8%</w:t>
            </w:r>
          </w:p>
        </w:tc>
        <w:tc>
          <w:tcPr>
            <w:tcW w:w="99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19.6%</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26.2%</w:t>
            </w:r>
          </w:p>
        </w:tc>
        <w:tc>
          <w:tcPr>
            <w:tcW w:w="99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10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7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11.1%</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9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16.6%</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6.7%</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10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7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16.0%</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37.1%</w:t>
            </w:r>
          </w:p>
        </w:tc>
        <w:tc>
          <w:tcPr>
            <w:tcW w:w="9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40.5%</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14.1%</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10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7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38.3%</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23.3%</w:t>
            </w:r>
          </w:p>
        </w:tc>
        <w:tc>
          <w:tcPr>
            <w:tcW w:w="9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23.4%</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53.0%</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2836"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9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9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Cs w:val="21"/>
        </w:rPr>
      </w:pPr>
    </w:p>
    <w:p>
      <w:pPr>
        <w:spacing w:line="300" w:lineRule="auto"/>
        <w:ind w:firstLine="480" w:firstLineChars="200"/>
      </w:pPr>
      <w:r>
        <w:rPr>
          <w:rFonts w:hint="eastAsia"/>
        </w:rPr>
        <w:t>从上表可以看出，在没有达到宣传效果的样本中国有企业工作人员占比最低，所以该《办法》的宣传在国有企业工作人员当中效果最好，而机关事业单位工作人员和私营、外资、个体企业工作人员也占了相对较低的比例，宣传效果较为理想，但是自由职业或无业则占据的比例较高，所以相较于其他职业，对自由职业和无业人员进行普法宣传举措，还亟待进一步加强。</w:t>
      </w:r>
    </w:p>
    <w:p>
      <w:pPr>
        <w:spacing w:line="300" w:lineRule="auto"/>
        <w:ind w:firstLine="480" w:firstLineChars="200"/>
      </w:pPr>
      <w:r>
        <w:fldChar w:fldCharType="begin"/>
      </w:r>
      <w:r>
        <w:instrText xml:space="preserve"> = 3 \* GB3 </w:instrText>
      </w:r>
      <w:r>
        <w:fldChar w:fldCharType="separate"/>
      </w:r>
      <w:r>
        <w:rPr>
          <w:rFonts w:hint="eastAsia"/>
        </w:rPr>
        <w:t>③</w:t>
      </w:r>
      <w:r>
        <w:rPr>
          <w:rFonts w:hint="eastAsia"/>
        </w:rPr>
        <w:fldChar w:fldCharType="end"/>
      </w:r>
      <w:r>
        <w:rPr>
          <w:rFonts w:hint="eastAsia"/>
        </w:rPr>
        <w:t>学历分析：</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bCs/>
          <w:sz w:val="21"/>
          <w:szCs w:val="21"/>
        </w:rPr>
        <w:t>表</w:t>
      </w:r>
      <w:r>
        <w:rPr>
          <w:rFonts w:ascii="Times New Roman" w:hAnsi="Times New Roman" w:eastAsia="宋体" w:cs="Times New Roman"/>
          <w:sz w:val="21"/>
          <w:szCs w:val="21"/>
        </w:rPr>
        <w:t>5.8</w:t>
      </w:r>
    </w:p>
    <w:tbl>
      <w:tblPr>
        <w:tblStyle w:val="21"/>
        <w:tblW w:w="7815"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2"/>
        <w:gridCol w:w="1520"/>
        <w:gridCol w:w="1136"/>
        <w:gridCol w:w="1134"/>
        <w:gridCol w:w="1136"/>
        <w:gridCol w:w="1136"/>
        <w:gridCol w:w="10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225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4542"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您知道《武汉市社会办养老福利机构管理办法》吗？</w:t>
            </w:r>
          </w:p>
        </w:tc>
        <w:tc>
          <w:tcPr>
            <w:tcW w:w="1021"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225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13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学习过</w:t>
            </w:r>
          </w:p>
        </w:tc>
        <w:tc>
          <w:tcPr>
            <w:tcW w:w="113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看过</w:t>
            </w:r>
          </w:p>
        </w:tc>
        <w:tc>
          <w:tcPr>
            <w:tcW w:w="113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听说过</w:t>
            </w:r>
          </w:p>
        </w:tc>
        <w:tc>
          <w:tcPr>
            <w:tcW w:w="113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1021"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2"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20"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13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8.6%</w:t>
            </w:r>
          </w:p>
        </w:tc>
        <w:tc>
          <w:tcPr>
            <w:tcW w:w="113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13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14.1%</w:t>
            </w:r>
          </w:p>
        </w:tc>
        <w:tc>
          <w:tcPr>
            <w:tcW w:w="113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12.1%</w:t>
            </w:r>
          </w:p>
        </w:tc>
        <w:tc>
          <w:tcPr>
            <w:tcW w:w="1021"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2"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2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13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7.4%</w:t>
            </w:r>
          </w:p>
        </w:tc>
        <w:tc>
          <w:tcPr>
            <w:tcW w:w="102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2"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2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13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25.7%</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28.3%</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8.7%</w:t>
            </w:r>
          </w:p>
        </w:tc>
        <w:tc>
          <w:tcPr>
            <w:tcW w:w="102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2"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2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13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39.5%</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35.1%</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35.3%</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36.9%</w:t>
            </w:r>
          </w:p>
        </w:tc>
        <w:tc>
          <w:tcPr>
            <w:tcW w:w="102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2"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2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13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18.5%</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34.9%</w:t>
            </w:r>
          </w:p>
        </w:tc>
        <w:tc>
          <w:tcPr>
            <w:tcW w:w="102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jc w:val="center"/>
        </w:trPr>
        <w:tc>
          <w:tcPr>
            <w:tcW w:w="225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13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21"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ind w:firstLine="480" w:firstLineChars="200"/>
      </w:pPr>
      <w:r>
        <w:rPr>
          <w:rFonts w:hint="eastAsia"/>
        </w:rPr>
        <w:t>从上表可以看出大学本科以上学历和大学本科学历的样本主要都集中选择“没有达到立法宣传效果”的选项中，而选择“听说过”的样本中，中专或者大专也占据了很大一部分，由此可见，《办法》的立法宣传贯彻情况在大学本科及本科以上群体的宣传贯彻效果相较于其他群体较差。</w:t>
      </w:r>
    </w:p>
    <w:p>
      <w:pPr>
        <w:spacing w:line="300" w:lineRule="auto"/>
        <w:ind w:firstLine="480" w:firstLineChars="200"/>
      </w:pPr>
      <w:r>
        <w:t>2.</w:t>
      </w:r>
      <w:r>
        <w:rPr>
          <w:rFonts w:hint="eastAsia"/>
        </w:rPr>
        <w:t>立法贯彻效果分析</w:t>
      </w:r>
    </w:p>
    <w:p>
      <w:pPr>
        <w:spacing w:line="300" w:lineRule="auto"/>
        <w:ind w:firstLine="480" w:firstLineChars="200"/>
      </w:pPr>
      <w:r>
        <w:rPr>
          <w:rFonts w:hint="eastAsia"/>
        </w:rPr>
        <w:t>本办法主要为了进一步规范对养老机构的管理，促进养老事业发展。尽管结合调研了解到《办法》的基本宣传效果较好，但在深入贯彻到办法的落实上，仍旧存在瑕疵。</w:t>
      </w:r>
    </w:p>
    <w:p>
      <w:pPr>
        <w:spacing w:line="300" w:lineRule="auto"/>
        <w:ind w:firstLine="480" w:firstLineChars="200"/>
      </w:pPr>
      <w:r>
        <w:rPr>
          <w:rFonts w:hint="eastAsia"/>
        </w:rPr>
        <w:t>第一，整体情况分析</w:t>
      </w:r>
    </w:p>
    <w:p>
      <w:pPr>
        <w:spacing w:line="300" w:lineRule="auto"/>
        <w:ind w:firstLine="480" w:firstLineChars="200"/>
      </w:pPr>
      <w:bookmarkStart w:id="5" w:name="_Hlk516254302"/>
      <w:bookmarkStart w:id="6" w:name="_Hlk516213832"/>
      <w:r>
        <w:rPr>
          <w:rFonts w:hint="eastAsia"/>
        </w:rPr>
        <w:t>根据整体调查情况来说，对于《办法》了解的人数仅占</w:t>
      </w:r>
      <w:r>
        <w:t>25.4%</w:t>
      </w:r>
      <w:r>
        <w:rPr>
          <w:rFonts w:hint="eastAsia"/>
        </w:rPr>
        <w:t>（如下表），大多数社会公众对于本办法所知不足。步入老年是每一个公民都将经历的阶段，近些年来老年人口年增速不断上升，养老问题成为社会所关注的焦点。</w:t>
      </w:r>
      <w:bookmarkEnd w:id="5"/>
      <w:r>
        <w:rPr>
          <w:rFonts w:hint="eastAsia"/>
        </w:rPr>
        <w:t>为保障每一位武汉市民的养老权益，《办法》应加大贯彻力度。</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5.9</w:t>
      </w:r>
    </w:p>
    <w:bookmarkEnd w:id="6"/>
    <w:tbl>
      <w:tblPr>
        <w:tblStyle w:val="21"/>
        <w:tblW w:w="6660" w:type="dxa"/>
        <w:tblInd w:w="85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337"/>
        <w:gridCol w:w="1043"/>
        <w:gridCol w:w="20"/>
        <w:gridCol w:w="1110"/>
        <w:gridCol w:w="20"/>
        <w:gridCol w:w="1250"/>
        <w:gridCol w:w="20"/>
        <w:gridCol w:w="181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660" w:type="dxa"/>
            <w:gridSpan w:val="9"/>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请问您对《武汉市社会办养老福利机构管理办法》的了解程度如何？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380"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43"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130" w:type="dxa"/>
            <w:gridSpan w:val="2"/>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0" w:type="dxa"/>
            <w:gridSpan w:val="2"/>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837" w:type="dxa"/>
            <w:gridSpan w:val="2"/>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1337"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知道</w:t>
            </w:r>
          </w:p>
        </w:tc>
        <w:tc>
          <w:tcPr>
            <w:tcW w:w="1063" w:type="dxa"/>
            <w:gridSpan w:val="2"/>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w:t>
            </w:r>
          </w:p>
        </w:tc>
        <w:tc>
          <w:tcPr>
            <w:tcW w:w="1130" w:type="dxa"/>
            <w:gridSpan w:val="2"/>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270" w:type="dxa"/>
            <w:gridSpan w:val="2"/>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817"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37" w:hRule="atLeas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33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知道一些</w:t>
            </w:r>
          </w:p>
        </w:tc>
        <w:tc>
          <w:tcPr>
            <w:tcW w:w="1063"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346</w:t>
            </w:r>
          </w:p>
        </w:tc>
        <w:tc>
          <w:tcPr>
            <w:tcW w:w="113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43.3</w:t>
            </w:r>
          </w:p>
        </w:tc>
        <w:tc>
          <w:tcPr>
            <w:tcW w:w="127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43.3</w:t>
            </w:r>
          </w:p>
        </w:tc>
        <w:tc>
          <w:tcPr>
            <w:tcW w:w="1817"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33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了解</w:t>
            </w:r>
          </w:p>
        </w:tc>
        <w:tc>
          <w:tcPr>
            <w:tcW w:w="1063"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203</w:t>
            </w:r>
          </w:p>
        </w:tc>
        <w:tc>
          <w:tcPr>
            <w:tcW w:w="113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25.4</w:t>
            </w:r>
          </w:p>
        </w:tc>
        <w:tc>
          <w:tcPr>
            <w:tcW w:w="127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25.4</w:t>
            </w:r>
          </w:p>
        </w:tc>
        <w:tc>
          <w:tcPr>
            <w:tcW w:w="1817"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33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不知道</w:t>
            </w:r>
          </w:p>
        </w:tc>
        <w:tc>
          <w:tcPr>
            <w:tcW w:w="1063"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169</w:t>
            </w:r>
          </w:p>
        </w:tc>
        <w:tc>
          <w:tcPr>
            <w:tcW w:w="113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1270"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1817"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337"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63" w:type="dxa"/>
            <w:gridSpan w:val="2"/>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130" w:type="dxa"/>
            <w:gridSpan w:val="2"/>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0" w:type="dxa"/>
            <w:gridSpan w:val="2"/>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817"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与此同时，针对养老福利机构的违法违规行为，公民如何保障自身权益调查情况如下表，其中会向有关部门报告或者举报的人有</w:t>
      </w:r>
      <w:r>
        <w:rPr>
          <w:rFonts w:ascii="Times New Roman" w:hAnsi="Times New Roman" w:eastAsia="宋体" w:cs="Times New Roman"/>
          <w:szCs w:val="21"/>
        </w:rPr>
        <w:t>395</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49.4%</w:t>
      </w:r>
      <w:r>
        <w:rPr>
          <w:rFonts w:hint="eastAsia" w:ascii="Times New Roman" w:hAnsi="Times New Roman" w:eastAsia="宋体" w:cs="Times New Roman"/>
          <w:szCs w:val="21"/>
        </w:rPr>
        <w:t>，不做处理的人有</w:t>
      </w:r>
      <w:r>
        <w:rPr>
          <w:rFonts w:ascii="Times New Roman" w:hAnsi="Times New Roman" w:eastAsia="宋体" w:cs="Times New Roman"/>
          <w:szCs w:val="21"/>
        </w:rPr>
        <w:t>178</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22.3%</w:t>
      </w:r>
      <w:r>
        <w:rPr>
          <w:rFonts w:hint="eastAsia" w:ascii="Times New Roman" w:hAnsi="Times New Roman" w:eastAsia="宋体" w:cs="Times New Roman"/>
          <w:szCs w:val="21"/>
        </w:rPr>
        <w:t>，不清楚的有</w:t>
      </w:r>
      <w:r>
        <w:rPr>
          <w:rFonts w:ascii="Times New Roman" w:hAnsi="Times New Roman" w:eastAsia="宋体" w:cs="Times New Roman"/>
          <w:szCs w:val="21"/>
        </w:rPr>
        <w:t>227</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28.4%</w:t>
      </w:r>
      <w:r>
        <w:rPr>
          <w:rFonts w:hint="eastAsia" w:ascii="Times New Roman" w:hAnsi="Times New Roman" w:eastAsia="宋体" w:cs="Times New Roman"/>
          <w:szCs w:val="21"/>
        </w:rPr>
        <w:t>。</w:t>
      </w:r>
    </w:p>
    <w:p>
      <w:pPr>
        <w:spacing w:line="300" w:lineRule="auto"/>
        <w:jc w:val="center"/>
        <w:rPr>
          <w:rFonts w:ascii="Times New Roman" w:hAnsi="Times New Roman" w:eastAsia="宋体" w:cs="Times New Roman"/>
          <w:szCs w:val="21"/>
        </w:rPr>
      </w:pPr>
      <w:r>
        <w:rPr>
          <w:rFonts w:hint="eastAsia" w:ascii="Times New Roman" w:hAnsi="Times New Roman" w:eastAsia="宋体" w:cs="Times New Roman"/>
          <w:szCs w:val="21"/>
        </w:rPr>
        <w:t>表</w:t>
      </w:r>
      <w:r>
        <w:rPr>
          <w:rFonts w:ascii="Times New Roman" w:hAnsi="Times New Roman" w:eastAsia="宋体" w:cs="Times New Roman"/>
          <w:szCs w:val="21"/>
        </w:rPr>
        <w:t>5.10</w:t>
      </w:r>
    </w:p>
    <w:tbl>
      <w:tblPr>
        <w:tblStyle w:val="21"/>
        <w:tblW w:w="6945" w:type="dxa"/>
        <w:tblInd w:w="71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2522"/>
        <w:gridCol w:w="797"/>
        <w:gridCol w:w="1014"/>
        <w:gridCol w:w="1207"/>
        <w:gridCol w:w="136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945"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当您发现武汉市社会办养老福利机构违法违规行为时，您是如何处理的？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2565"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797"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01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07"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362"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2522"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向有关部门报告或者举报</w:t>
            </w:r>
          </w:p>
        </w:tc>
        <w:tc>
          <w:tcPr>
            <w:tcW w:w="79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395</w:t>
            </w:r>
          </w:p>
        </w:tc>
        <w:tc>
          <w:tcPr>
            <w:tcW w:w="101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49.4</w:t>
            </w:r>
          </w:p>
        </w:tc>
        <w:tc>
          <w:tcPr>
            <w:tcW w:w="120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49.4</w:t>
            </w:r>
          </w:p>
        </w:tc>
        <w:tc>
          <w:tcPr>
            <w:tcW w:w="136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252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不做处理</w:t>
            </w:r>
          </w:p>
        </w:tc>
        <w:tc>
          <w:tcPr>
            <w:tcW w:w="79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01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22.3</w:t>
            </w:r>
          </w:p>
        </w:tc>
        <w:tc>
          <w:tcPr>
            <w:tcW w:w="120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22.3</w:t>
            </w:r>
          </w:p>
        </w:tc>
        <w:tc>
          <w:tcPr>
            <w:tcW w:w="136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252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79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227</w:t>
            </w:r>
          </w:p>
        </w:tc>
        <w:tc>
          <w:tcPr>
            <w:tcW w:w="101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28.4</w:t>
            </w:r>
          </w:p>
        </w:tc>
        <w:tc>
          <w:tcPr>
            <w:tcW w:w="120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28.4</w:t>
            </w:r>
          </w:p>
        </w:tc>
        <w:tc>
          <w:tcPr>
            <w:tcW w:w="136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2522"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79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01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0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62"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jc w:val="center"/>
        <w:rPr>
          <w:rFonts w:ascii="Times New Roman" w:hAnsi="Times New Roman" w:eastAsia="宋体" w:cs="Times New Roman"/>
          <w:szCs w:val="21"/>
        </w:rPr>
      </w:pPr>
    </w:p>
    <w:p>
      <w:pPr>
        <w:spacing w:line="300" w:lineRule="auto"/>
        <w:ind w:firstLine="480" w:firstLineChars="200"/>
      </w:pPr>
      <w:r>
        <w:rPr>
          <w:rFonts w:hint="eastAsia"/>
        </w:rPr>
        <w:t>从上表不难看出，有</w:t>
      </w:r>
      <w:r>
        <w:t>78.9%</w:t>
      </w:r>
      <w:r>
        <w:rPr>
          <w:rFonts w:hint="eastAsia"/>
        </w:rPr>
        <w:t>的参与调查的公众对于推行的《办法》具有一定程度的了解，这表明在该《办法》推行至今，其宣传贯彻规模较广，达到了普及的程度。但从表中也可以反映出的是，仅仅只是了解或者知道一些《办法》的人数占到了解《办法》的人数的大部分，高达总样本数的</w:t>
      </w:r>
      <w:r>
        <w:t>68.7%</w:t>
      </w:r>
      <w:r>
        <w:rPr>
          <w:rFonts w:hint="eastAsia"/>
        </w:rPr>
        <w:t>，也就是说，对于大部分的公众来说，他们仅仅只是对该《办法》的推行有所了解而已。而从实际应用的角度来说，社会公众能够做出举报这一举动的虽然相较于不做处理和不清楚的数量要多，但是所占的比例并不乐观，只有</w:t>
      </w:r>
      <w:r>
        <w:t>49.4%</w:t>
      </w:r>
      <w:r>
        <w:rPr>
          <w:rFonts w:hint="eastAsia"/>
        </w:rPr>
        <w:t>，导致这一结果的原因可能是社会公众对于该《办法》的了解程度不够。因为仅对新的《办法》达到知道一些这种了解程度是无法在遇到相关问题时和有相关需求时去应用或者遵守该《办法》的，对参与问卷调查的整体分析可以得出结论，从《办法》推行至今的贯彻效果仅能让</w:t>
      </w:r>
      <w:r>
        <w:t>78.9%</w:t>
      </w:r>
      <w:r>
        <w:rPr>
          <w:rFonts w:hint="eastAsia"/>
        </w:rPr>
        <w:t>的社会公众了解该《办法》，让</w:t>
      </w:r>
      <w:r>
        <w:t>49.4%</w:t>
      </w:r>
      <w:r>
        <w:rPr>
          <w:rFonts w:hint="eastAsia"/>
        </w:rPr>
        <w:t>的社会公众在发现违规行为时有所行动，所以我们认为《办法》在贯彻落实该办法的程度上还存在很大的不足。</w:t>
      </w:r>
    </w:p>
    <w:p>
      <w:pPr>
        <w:spacing w:line="300" w:lineRule="auto"/>
        <w:ind w:firstLine="480" w:firstLineChars="200"/>
      </w:pPr>
      <w:r>
        <w:rPr>
          <w:rFonts w:hint="eastAsia"/>
        </w:rPr>
        <w:t>第二，差异化分析</w:t>
      </w:r>
    </w:p>
    <w:p>
      <w:pPr>
        <w:spacing w:line="300" w:lineRule="auto"/>
        <w:ind w:firstLine="480" w:firstLineChars="200"/>
      </w:pPr>
      <w:r>
        <w:fldChar w:fldCharType="begin"/>
      </w:r>
      <w:r>
        <w:instrText xml:space="preserve"> = 1 \* GB3 </w:instrText>
      </w:r>
      <w:r>
        <w:fldChar w:fldCharType="separate"/>
      </w:r>
      <w:r>
        <w:rPr>
          <w:rFonts w:hint="eastAsia"/>
        </w:rPr>
        <w:t>①</w:t>
      </w:r>
      <w:r>
        <w:rPr>
          <w:rFonts w:hint="eastAsia"/>
        </w:rPr>
        <w:fldChar w:fldCharType="end"/>
      </w:r>
      <w:r>
        <w:rPr>
          <w:rFonts w:hint="eastAsia"/>
        </w:rPr>
        <w:t>年龄分析：</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5.11</w:t>
      </w:r>
    </w:p>
    <w:tbl>
      <w:tblPr>
        <w:tblStyle w:val="21"/>
        <w:tblW w:w="657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57"/>
        <w:gridCol w:w="863"/>
        <w:gridCol w:w="903"/>
        <w:gridCol w:w="1104"/>
        <w:gridCol w:w="1105"/>
        <w:gridCol w:w="1106"/>
        <w:gridCol w:w="93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2" w:hRule="atLeast"/>
          <w:tblHeader/>
          <w:jc w:val="center"/>
        </w:trPr>
        <w:tc>
          <w:tcPr>
            <w:tcW w:w="1420"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421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请问您对《武汉市社会办养老福利机构管理办法》的了解程度如何？</w:t>
            </w:r>
          </w:p>
        </w:tc>
        <w:tc>
          <w:tcPr>
            <w:tcW w:w="93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jc w:val="center"/>
        </w:trPr>
        <w:tc>
          <w:tcPr>
            <w:tcW w:w="1420"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903"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w:t>
            </w:r>
          </w:p>
        </w:tc>
        <w:tc>
          <w:tcPr>
            <w:tcW w:w="110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知道一些</w:t>
            </w:r>
          </w:p>
        </w:tc>
        <w:tc>
          <w:tcPr>
            <w:tcW w:w="110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了解</w:t>
            </w:r>
          </w:p>
        </w:tc>
        <w:tc>
          <w:tcPr>
            <w:tcW w:w="110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93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2" w:hRule="atLeast"/>
          <w:tblHeader/>
          <w:jc w:val="center"/>
        </w:trPr>
        <w:tc>
          <w:tcPr>
            <w:tcW w:w="557"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3"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903"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10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27.2%</w:t>
            </w:r>
          </w:p>
        </w:tc>
        <w:tc>
          <w:tcPr>
            <w:tcW w:w="110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20.7%</w:t>
            </w:r>
          </w:p>
        </w:tc>
        <w:tc>
          <w:tcPr>
            <w:tcW w:w="110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62.1%</w:t>
            </w:r>
          </w:p>
        </w:tc>
        <w:tc>
          <w:tcPr>
            <w:tcW w:w="93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jc w:val="center"/>
        </w:trPr>
        <w:tc>
          <w:tcPr>
            <w:tcW w:w="55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90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41.5%</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38.4%</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47.8%</w:t>
            </w:r>
          </w:p>
        </w:tc>
        <w:tc>
          <w:tcPr>
            <w:tcW w:w="110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w:t>
            </w:r>
          </w:p>
        </w:tc>
        <w:tc>
          <w:tcPr>
            <w:tcW w:w="93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jc w:val="center"/>
        </w:trPr>
        <w:tc>
          <w:tcPr>
            <w:tcW w:w="55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90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17.1%</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22.7%</w:t>
            </w:r>
          </w:p>
        </w:tc>
        <w:tc>
          <w:tcPr>
            <w:tcW w:w="110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10.7%</w:t>
            </w:r>
          </w:p>
        </w:tc>
        <w:tc>
          <w:tcPr>
            <w:tcW w:w="93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jc w:val="center"/>
        </w:trPr>
        <w:tc>
          <w:tcPr>
            <w:tcW w:w="55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90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10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w:t>
            </w:r>
          </w:p>
        </w:tc>
        <w:tc>
          <w:tcPr>
            <w:tcW w:w="93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8" w:hRule="atLeast"/>
          <w:jc w:val="center"/>
        </w:trPr>
        <w:tc>
          <w:tcPr>
            <w:tcW w:w="1420"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903"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3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5.12</w:t>
      </w:r>
    </w:p>
    <w:tbl>
      <w:tblPr>
        <w:tblStyle w:val="21"/>
        <w:tblW w:w="6645"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94"/>
        <w:gridCol w:w="824"/>
        <w:gridCol w:w="1622"/>
        <w:gridCol w:w="1152"/>
        <w:gridCol w:w="1390"/>
        <w:gridCol w:w="96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86" w:hRule="atLeast"/>
          <w:tblHeader/>
          <w:jc w:val="center"/>
        </w:trPr>
        <w:tc>
          <w:tcPr>
            <w:tcW w:w="1518"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jc w:val="center"/>
              <w:rPr>
                <w:rFonts w:ascii="Times New Roman" w:hAnsi="Times New Roman" w:eastAsia="宋体" w:cs="Times New Roman"/>
                <w:kern w:val="0"/>
                <w:sz w:val="21"/>
                <w:szCs w:val="21"/>
              </w:rPr>
            </w:pPr>
          </w:p>
        </w:tc>
        <w:tc>
          <w:tcPr>
            <w:tcW w:w="4164" w:type="dxa"/>
            <w:gridSpan w:val="3"/>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当您发现武汉市社会办养老福利机构违法违规行为时，您是如何处理的？</w:t>
            </w:r>
          </w:p>
        </w:tc>
        <w:tc>
          <w:tcPr>
            <w:tcW w:w="96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7" w:hRule="atLeast"/>
          <w:tblHeader/>
          <w:jc w:val="center"/>
        </w:trPr>
        <w:tc>
          <w:tcPr>
            <w:tcW w:w="1518"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622"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向有关部门报告或者举报</w:t>
            </w:r>
          </w:p>
        </w:tc>
        <w:tc>
          <w:tcPr>
            <w:tcW w:w="115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不做处理</w:t>
            </w:r>
          </w:p>
        </w:tc>
        <w:tc>
          <w:tcPr>
            <w:tcW w:w="1390"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6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92" w:hRule="atLeast"/>
          <w:tblHeader/>
          <w:jc w:val="center"/>
        </w:trPr>
        <w:tc>
          <w:tcPr>
            <w:tcW w:w="69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24" w:type="dxa"/>
            <w:tcBorders>
              <w:top w:val="single" w:color="000000" w:sz="18" w:space="0"/>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622"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c>
          <w:tcPr>
            <w:tcW w:w="115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25.8%</w:t>
            </w:r>
          </w:p>
        </w:tc>
        <w:tc>
          <w:tcPr>
            <w:tcW w:w="139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30.3%</w:t>
            </w:r>
          </w:p>
        </w:tc>
        <w:tc>
          <w:tcPr>
            <w:tcW w:w="963"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7" w:hRule="atLeast"/>
          <w:tblHeader/>
          <w:jc w:val="center"/>
        </w:trPr>
        <w:tc>
          <w:tcPr>
            <w:tcW w:w="69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2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622"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37.3%</w:t>
            </w:r>
          </w:p>
        </w:tc>
        <w:tc>
          <w:tcPr>
            <w:tcW w:w="115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35.4%</w:t>
            </w:r>
          </w:p>
        </w:tc>
        <w:tc>
          <w:tcPr>
            <w:tcW w:w="1390"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40.4%</w:t>
            </w:r>
          </w:p>
        </w:tc>
        <w:tc>
          <w:tcPr>
            <w:tcW w:w="963"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7" w:hRule="atLeast"/>
          <w:tblHeader/>
          <w:jc w:val="center"/>
        </w:trPr>
        <w:tc>
          <w:tcPr>
            <w:tcW w:w="69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2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622"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17.0%</w:t>
            </w:r>
          </w:p>
        </w:tc>
        <w:tc>
          <w:tcPr>
            <w:tcW w:w="115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w:t>
            </w:r>
          </w:p>
        </w:tc>
        <w:tc>
          <w:tcPr>
            <w:tcW w:w="1390"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21.5%</w:t>
            </w:r>
          </w:p>
        </w:tc>
        <w:tc>
          <w:tcPr>
            <w:tcW w:w="963"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87" w:hRule="atLeast"/>
          <w:tblHeader/>
          <w:jc w:val="center"/>
        </w:trPr>
        <w:tc>
          <w:tcPr>
            <w:tcW w:w="69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2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622"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7.9%</w:t>
            </w:r>
          </w:p>
        </w:tc>
        <w:tc>
          <w:tcPr>
            <w:tcW w:w="115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16.3%</w:t>
            </w:r>
          </w:p>
        </w:tc>
        <w:tc>
          <w:tcPr>
            <w:tcW w:w="1390"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7.9%</w:t>
            </w:r>
          </w:p>
        </w:tc>
        <w:tc>
          <w:tcPr>
            <w:tcW w:w="963"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95" w:hRule="atLeast"/>
          <w:jc w:val="center"/>
        </w:trPr>
        <w:tc>
          <w:tcPr>
            <w:tcW w:w="1518"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622"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5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9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63"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从上表可以看出处在</w:t>
      </w:r>
      <w:r>
        <w:rPr>
          <w:rFonts w:ascii="Times New Roman" w:hAnsi="Times New Roman" w:eastAsia="宋体" w:cs="Times New Roman"/>
          <w:szCs w:val="21"/>
        </w:rPr>
        <w:t>18</w:t>
      </w:r>
      <w:r>
        <w:rPr>
          <w:rFonts w:hint="eastAsia" w:ascii="Times New Roman" w:hAnsi="Times New Roman" w:eastAsia="宋体" w:cs="Times New Roman"/>
          <w:szCs w:val="21"/>
        </w:rPr>
        <w:t>至</w:t>
      </w:r>
      <w:r>
        <w:rPr>
          <w:rFonts w:ascii="Times New Roman" w:hAnsi="Times New Roman" w:eastAsia="宋体" w:cs="Times New Roman"/>
          <w:szCs w:val="21"/>
        </w:rPr>
        <w:t>30</w:t>
      </w:r>
      <w:r>
        <w:rPr>
          <w:rFonts w:hint="eastAsia" w:ascii="Times New Roman" w:hAnsi="Times New Roman" w:eastAsia="宋体" w:cs="Times New Roman"/>
          <w:szCs w:val="21"/>
        </w:rPr>
        <w:t>岁、</w:t>
      </w:r>
      <w:r>
        <w:rPr>
          <w:rFonts w:ascii="Times New Roman" w:hAnsi="Times New Roman" w:eastAsia="宋体" w:cs="Times New Roman"/>
          <w:szCs w:val="21"/>
        </w:rPr>
        <w:t>31</w:t>
      </w:r>
      <w:r>
        <w:rPr>
          <w:rFonts w:hint="eastAsia" w:ascii="Times New Roman" w:hAnsi="Times New Roman" w:eastAsia="宋体" w:cs="Times New Roman"/>
          <w:szCs w:val="21"/>
        </w:rPr>
        <w:t>岁至</w:t>
      </w:r>
      <w:r>
        <w:rPr>
          <w:rFonts w:ascii="Times New Roman" w:hAnsi="Times New Roman" w:eastAsia="宋体" w:cs="Times New Roman"/>
          <w:szCs w:val="21"/>
        </w:rPr>
        <w:t>50</w:t>
      </w:r>
      <w:r>
        <w:rPr>
          <w:rFonts w:hint="eastAsia" w:ascii="Times New Roman" w:hAnsi="Times New Roman" w:eastAsia="宋体" w:cs="Times New Roman"/>
          <w:szCs w:val="21"/>
        </w:rPr>
        <w:t>岁这个年龄阶层的样本对该《办法》的了解程度较高，在实际运用时能够有所举措的占比也较高，贯彻效果较好；而</w:t>
      </w:r>
      <w:r>
        <w:rPr>
          <w:rFonts w:ascii="Times New Roman" w:hAnsi="Times New Roman" w:eastAsia="宋体" w:cs="Times New Roman"/>
          <w:szCs w:val="21"/>
        </w:rPr>
        <w:t>51</w:t>
      </w:r>
      <w:r>
        <w:rPr>
          <w:rFonts w:hint="eastAsia" w:ascii="Times New Roman" w:hAnsi="Times New Roman" w:eastAsia="宋体" w:cs="Times New Roman"/>
          <w:szCs w:val="21"/>
        </w:rPr>
        <w:t>岁至</w:t>
      </w:r>
      <w:r>
        <w:rPr>
          <w:rFonts w:ascii="Times New Roman" w:hAnsi="Times New Roman" w:eastAsia="宋体" w:cs="Times New Roman"/>
          <w:szCs w:val="21"/>
        </w:rPr>
        <w:t>60</w:t>
      </w:r>
      <w:r>
        <w:rPr>
          <w:rFonts w:hint="eastAsia" w:ascii="Times New Roman" w:hAnsi="Times New Roman" w:eastAsia="宋体" w:cs="Times New Roman"/>
          <w:szCs w:val="21"/>
        </w:rPr>
        <w:t>岁、</w:t>
      </w:r>
      <w:r>
        <w:rPr>
          <w:rFonts w:ascii="Times New Roman" w:hAnsi="Times New Roman" w:eastAsia="宋体" w:cs="Times New Roman"/>
          <w:szCs w:val="21"/>
        </w:rPr>
        <w:t>61</w:t>
      </w:r>
      <w:r>
        <w:rPr>
          <w:rFonts w:hint="eastAsia" w:ascii="Times New Roman" w:hAnsi="Times New Roman" w:eastAsia="宋体" w:cs="Times New Roman"/>
          <w:szCs w:val="21"/>
        </w:rPr>
        <w:t>岁以上的的样本虽然了解程度相对较高，但是能够进行运用的样本占比较低，贯彻效果不够理想；</w:t>
      </w:r>
    </w:p>
    <w:p>
      <w:pPr>
        <w:spacing w:line="300" w:lineRule="auto"/>
        <w:ind w:firstLine="480" w:firstLineChars="200"/>
      </w:pPr>
      <w:bookmarkStart w:id="7" w:name="_Toc6501"/>
      <w:r>
        <w:fldChar w:fldCharType="begin"/>
      </w:r>
      <w:r>
        <w:instrText xml:space="preserve"> = 2 \* GB3 </w:instrText>
      </w:r>
      <w:r>
        <w:fldChar w:fldCharType="separate"/>
      </w:r>
      <w:r>
        <w:rPr>
          <w:rFonts w:hint="eastAsia"/>
        </w:rPr>
        <w:t>②</w:t>
      </w:r>
      <w:r>
        <w:fldChar w:fldCharType="end"/>
      </w:r>
      <w:r>
        <w:rPr>
          <w:rFonts w:hint="eastAsia"/>
        </w:rPr>
        <w:t>职业分析：</w:t>
      </w:r>
      <w:bookmarkEnd w:id="7"/>
    </w:p>
    <w:p>
      <w:pPr>
        <w:spacing w:line="300" w:lineRule="auto"/>
        <w:ind w:firstLine="480" w:firstLineChars="200"/>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5.13</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59"/>
        <w:gridCol w:w="1894"/>
        <w:gridCol w:w="1418"/>
        <w:gridCol w:w="1277"/>
        <w:gridCol w:w="1135"/>
        <w:gridCol w:w="1135"/>
        <w:gridCol w:w="8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4" w:hRule="atLeast"/>
          <w:tblHeader/>
        </w:trPr>
        <w:tc>
          <w:tcPr>
            <w:tcW w:w="2553"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jc w:val="center"/>
              <w:rPr>
                <w:rFonts w:ascii="Times New Roman" w:hAnsi="Times New Roman" w:eastAsia="宋体" w:cs="Times New Roman"/>
                <w:kern w:val="0"/>
                <w:sz w:val="21"/>
                <w:szCs w:val="21"/>
              </w:rPr>
            </w:pPr>
          </w:p>
        </w:tc>
        <w:tc>
          <w:tcPr>
            <w:tcW w:w="4965"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请问您对《武汉市社会办养老福利机构管理办法》的了解程度如何？</w:t>
            </w:r>
          </w:p>
        </w:tc>
        <w:tc>
          <w:tcPr>
            <w:tcW w:w="85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2553"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1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w:t>
            </w:r>
          </w:p>
        </w:tc>
        <w:tc>
          <w:tcPr>
            <w:tcW w:w="127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知道一些</w:t>
            </w:r>
          </w:p>
        </w:tc>
        <w:tc>
          <w:tcPr>
            <w:tcW w:w="11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了解</w:t>
            </w:r>
          </w:p>
        </w:tc>
        <w:tc>
          <w:tcPr>
            <w:tcW w:w="11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85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4" w:hRule="atLeast"/>
          <w:tblHeader/>
        </w:trPr>
        <w:tc>
          <w:tcPr>
            <w:tcW w:w="659"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1894" w:type="dxa"/>
            <w:tcBorders>
              <w:top w:val="single" w:color="000000" w:sz="18" w:space="0"/>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41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27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32.0%</w:t>
            </w:r>
          </w:p>
        </w:tc>
        <w:tc>
          <w:tcPr>
            <w:tcW w:w="85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65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89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418"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14.5%</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21.2%</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5.3%</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65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89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418"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34.7%</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44.3%</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14.8%</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65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894"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418"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29.3%</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29.5%</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17.7%</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47.9%</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4" w:hRule="atLeast"/>
        </w:trPr>
        <w:tc>
          <w:tcPr>
            <w:tcW w:w="2553"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1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autoSpaceDE w:val="0"/>
        <w:autoSpaceDN w:val="0"/>
        <w:adjustRightInd w:val="0"/>
        <w:spacing w:line="300" w:lineRule="auto"/>
        <w:jc w:val="left"/>
        <w:rPr>
          <w:rFonts w:ascii="Times New Roman" w:hAnsi="Times New Roman" w:cs="Times New Roman"/>
          <w:kern w:val="0"/>
        </w:rPr>
      </w:pPr>
    </w:p>
    <w:p>
      <w:pPr>
        <w:spacing w:line="300" w:lineRule="auto"/>
        <w:ind w:firstLine="420" w:firstLineChars="20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5.14</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2671"/>
        <w:gridCol w:w="1419"/>
        <w:gridCol w:w="1298"/>
        <w:gridCol w:w="1255"/>
        <w:gridCol w:w="9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3404"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jc w:val="center"/>
              <w:rPr>
                <w:rFonts w:ascii="Times New Roman" w:hAnsi="Times New Roman" w:eastAsia="宋体" w:cs="Times New Roman"/>
                <w:kern w:val="0"/>
                <w:sz w:val="21"/>
                <w:szCs w:val="21"/>
              </w:rPr>
            </w:pPr>
          </w:p>
        </w:tc>
        <w:tc>
          <w:tcPr>
            <w:tcW w:w="3972" w:type="dxa"/>
            <w:gridSpan w:val="3"/>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当您发现武汉市社会办养老福利机构违法违规行为时，您是如何处理的？</w:t>
            </w:r>
          </w:p>
        </w:tc>
        <w:tc>
          <w:tcPr>
            <w:tcW w:w="99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3404"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19"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向有关部门报告或者举报</w:t>
            </w:r>
          </w:p>
        </w:tc>
        <w:tc>
          <w:tcPr>
            <w:tcW w:w="129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不做处理</w:t>
            </w:r>
          </w:p>
        </w:tc>
        <w:tc>
          <w:tcPr>
            <w:tcW w:w="125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9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671" w:type="dxa"/>
            <w:tcBorders>
              <w:top w:val="single" w:color="000000" w:sz="18" w:space="0"/>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419"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24.9%</w:t>
            </w:r>
          </w:p>
        </w:tc>
        <w:tc>
          <w:tcPr>
            <w:tcW w:w="129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15.2%</w:t>
            </w:r>
          </w:p>
        </w:tc>
        <w:tc>
          <w:tcPr>
            <w:tcW w:w="125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26.3%</w:t>
            </w:r>
          </w:p>
        </w:tc>
        <w:tc>
          <w:tcPr>
            <w:tcW w:w="99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671"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419"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129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18.5%</w:t>
            </w:r>
          </w:p>
        </w:tc>
        <w:tc>
          <w:tcPr>
            <w:tcW w:w="125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671"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419"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28.7%</w:t>
            </w:r>
          </w:p>
        </w:tc>
        <w:tc>
          <w:tcPr>
            <w:tcW w:w="129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43.8%</w:t>
            </w:r>
          </w:p>
        </w:tc>
        <w:tc>
          <w:tcPr>
            <w:tcW w:w="125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29.4%</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671"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419"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33.8%</w:t>
            </w:r>
          </w:p>
        </w:tc>
        <w:tc>
          <w:tcPr>
            <w:tcW w:w="129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w:t>
            </w:r>
          </w:p>
        </w:tc>
        <w:tc>
          <w:tcPr>
            <w:tcW w:w="125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30.7%</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3404"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19"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9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5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9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80" w:firstLineChars="200"/>
        <w:rPr>
          <w:rFonts w:ascii="Times New Roman" w:hAnsi="Times New Roman" w:eastAsia="宋体" w:cs="Times New Roman"/>
          <w:szCs w:val="21"/>
        </w:rPr>
      </w:pPr>
      <w:bookmarkStart w:id="8" w:name="_Hlk516256348"/>
      <w:r>
        <w:rPr>
          <w:rFonts w:hint="eastAsia" w:ascii="Times New Roman" w:hAnsi="Times New Roman" w:eastAsia="宋体" w:cs="Times New Roman"/>
          <w:szCs w:val="21"/>
        </w:rPr>
        <w:t>从上表可以看出，机关事业单位工作人员和自由职业或无业人员均对该办法的了解程度较好，能够在遇到问题时有所举措的样本占比也较高，所以贯彻效果较好；而国有企业工作人员和私营、外资、个体企业工作人员均有基本合格的了解程度但是能够运用该</w:t>
      </w:r>
      <w:r>
        <w:rPr>
          <w:rFonts w:hint="eastAsia"/>
        </w:rPr>
        <w:t>《办法》</w:t>
      </w:r>
      <w:r>
        <w:rPr>
          <w:rFonts w:hint="eastAsia" w:ascii="Times New Roman" w:hAnsi="Times New Roman" w:eastAsia="宋体" w:cs="Times New Roman"/>
          <w:szCs w:val="21"/>
        </w:rPr>
        <w:t>的占比却较少，立法贯彻效果存在不足的情况。</w:t>
      </w:r>
      <w:bookmarkEnd w:id="8"/>
    </w:p>
    <w:p>
      <w:pPr>
        <w:spacing w:line="300" w:lineRule="auto"/>
        <w:ind w:firstLine="480" w:firstLineChars="200"/>
      </w:pPr>
      <w:bookmarkStart w:id="9" w:name="_Toc17461"/>
      <w:r>
        <w:fldChar w:fldCharType="begin"/>
      </w:r>
      <w:r>
        <w:instrText xml:space="preserve"> = 3 \* GB3 </w:instrText>
      </w:r>
      <w:r>
        <w:fldChar w:fldCharType="separate"/>
      </w:r>
      <w:r>
        <w:rPr>
          <w:rFonts w:hint="eastAsia"/>
        </w:rPr>
        <w:t>③</w:t>
      </w:r>
      <w:r>
        <w:fldChar w:fldCharType="end"/>
      </w:r>
      <w:r>
        <w:rPr>
          <w:rFonts w:hint="eastAsia"/>
        </w:rPr>
        <w:t>学历分析：</w:t>
      </w:r>
      <w:bookmarkEnd w:id="9"/>
    </w:p>
    <w:p>
      <w:pPr>
        <w:spacing w:line="300" w:lineRule="auto"/>
        <w:ind w:firstLine="420" w:firstLineChars="20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5.15</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95"/>
        <w:gridCol w:w="1433"/>
        <w:gridCol w:w="1270"/>
        <w:gridCol w:w="1381"/>
        <w:gridCol w:w="1382"/>
        <w:gridCol w:w="1215"/>
        <w:gridCol w:w="9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2128"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jc w:val="center"/>
              <w:rPr>
                <w:rFonts w:ascii="Times New Roman" w:hAnsi="Times New Roman" w:eastAsia="宋体" w:cs="Times New Roman"/>
                <w:kern w:val="0"/>
                <w:sz w:val="21"/>
                <w:szCs w:val="21"/>
              </w:rPr>
            </w:pPr>
          </w:p>
        </w:tc>
        <w:tc>
          <w:tcPr>
            <w:tcW w:w="524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请问您对《武汉市社会办养老福利机构管理办法》的了解程度如何？</w:t>
            </w:r>
          </w:p>
        </w:tc>
        <w:tc>
          <w:tcPr>
            <w:tcW w:w="99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2128"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0"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w:t>
            </w:r>
          </w:p>
        </w:tc>
        <w:tc>
          <w:tcPr>
            <w:tcW w:w="1381"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知道一些</w:t>
            </w:r>
          </w:p>
        </w:tc>
        <w:tc>
          <w:tcPr>
            <w:tcW w:w="138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了解</w:t>
            </w:r>
          </w:p>
        </w:tc>
        <w:tc>
          <w:tcPr>
            <w:tcW w:w="121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不知道</w:t>
            </w:r>
          </w:p>
        </w:tc>
        <w:tc>
          <w:tcPr>
            <w:tcW w:w="99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695"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433" w:type="dxa"/>
            <w:tcBorders>
              <w:top w:val="single" w:color="000000" w:sz="18" w:space="0"/>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0"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c>
          <w:tcPr>
            <w:tcW w:w="138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17.6%</w:t>
            </w:r>
          </w:p>
        </w:tc>
        <w:tc>
          <w:tcPr>
            <w:tcW w:w="138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12.8%</w:t>
            </w:r>
          </w:p>
        </w:tc>
        <w:tc>
          <w:tcPr>
            <w:tcW w:w="121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99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69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3"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0"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12.2%</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38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17.2%</w:t>
            </w:r>
          </w:p>
        </w:tc>
        <w:tc>
          <w:tcPr>
            <w:tcW w:w="121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69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3"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0"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25.6%</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26.9%</w:t>
            </w:r>
          </w:p>
        </w:tc>
        <w:tc>
          <w:tcPr>
            <w:tcW w:w="138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26.6%</w:t>
            </w:r>
          </w:p>
        </w:tc>
        <w:tc>
          <w:tcPr>
            <w:tcW w:w="121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69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3"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0"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40.2%</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33.5%</w:t>
            </w:r>
          </w:p>
        </w:tc>
        <w:tc>
          <w:tcPr>
            <w:tcW w:w="138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121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39.6%</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69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3"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0"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12.2%</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1382"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7.9%</w:t>
            </w:r>
          </w:p>
        </w:tc>
        <w:tc>
          <w:tcPr>
            <w:tcW w:w="1215"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994"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2128"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0"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1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9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20" w:firstLineChars="20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5.16</w:t>
      </w:r>
    </w:p>
    <w:tbl>
      <w:tblPr>
        <w:tblStyle w:val="21"/>
        <w:tblW w:w="771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4"/>
        <w:gridCol w:w="1552"/>
        <w:gridCol w:w="1469"/>
        <w:gridCol w:w="1467"/>
        <w:gridCol w:w="1469"/>
        <w:gridCol w:w="101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2286"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rPr>
                <w:rFonts w:ascii="Times New Roman" w:hAnsi="Times New Roman" w:eastAsia="宋体" w:cs="Times New Roman"/>
                <w:kern w:val="0"/>
                <w:sz w:val="21"/>
                <w:szCs w:val="21"/>
              </w:rPr>
            </w:pPr>
          </w:p>
        </w:tc>
        <w:tc>
          <w:tcPr>
            <w:tcW w:w="4405" w:type="dxa"/>
            <w:gridSpan w:val="3"/>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当您发现武汉市社会办养老福利机构违法违规行为时，您是如何处理的？</w:t>
            </w:r>
          </w:p>
        </w:tc>
        <w:tc>
          <w:tcPr>
            <w:tcW w:w="1019"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2286"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9"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向有关部门报告或者举报</w:t>
            </w:r>
          </w:p>
        </w:tc>
        <w:tc>
          <w:tcPr>
            <w:tcW w:w="146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不做处理</w:t>
            </w:r>
          </w:p>
        </w:tc>
        <w:tc>
          <w:tcPr>
            <w:tcW w:w="146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9"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52"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469"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15.0%</w:t>
            </w:r>
          </w:p>
        </w:tc>
        <w:tc>
          <w:tcPr>
            <w:tcW w:w="146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146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019"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5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46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11.2%</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11.0%</w:t>
            </w:r>
          </w:p>
        </w:tc>
        <w:tc>
          <w:tcPr>
            <w:tcW w:w="101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5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46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28.7%</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28.1%</w:t>
            </w:r>
          </w:p>
        </w:tc>
        <w:tc>
          <w:tcPr>
            <w:tcW w:w="101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5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46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38.6%</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35.1%</w:t>
            </w:r>
          </w:p>
        </w:tc>
        <w:tc>
          <w:tcPr>
            <w:tcW w:w="101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jc w:val="center"/>
        </w:trPr>
        <w:tc>
          <w:tcPr>
            <w:tcW w:w="73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5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46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17.5%</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11.2%</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01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jc w:val="center"/>
        </w:trPr>
        <w:tc>
          <w:tcPr>
            <w:tcW w:w="2286"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9"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9"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Cs w:val="21"/>
        </w:rPr>
      </w:pPr>
    </w:p>
    <w:p>
      <w:pPr>
        <w:spacing w:line="300" w:lineRule="auto"/>
        <w:ind w:firstLine="480" w:firstLineChars="200"/>
      </w:pPr>
      <w:r>
        <w:rPr>
          <w:rFonts w:hint="eastAsia"/>
        </w:rPr>
        <w:t>从上表可以看出，大学本科学历以下的样本对于该《办法》的了解程度基本合格，但是能够在遇到违规情况时运用该《办法》的确占比较少；而大学本科学历及以上的样本虽然了解程度相较于其他公众群体较低，但是能够有所举措的占比较高，这可能与公众群体自身素质有关，综上，从学历角度分析，该《办法》立法贯彻效果不够理想，针对不同群体还有改进的空间。</w:t>
      </w:r>
    </w:p>
    <w:p>
      <w:pPr>
        <w:spacing w:line="300" w:lineRule="auto"/>
        <w:ind w:firstLine="480" w:firstLineChars="200"/>
      </w:pPr>
      <w:r>
        <w:t>3.</w:t>
      </w:r>
      <w:r>
        <w:rPr>
          <w:rFonts w:hint="eastAsia"/>
        </w:rPr>
        <w:t>立法的宣传渠道</w:t>
      </w:r>
    </w:p>
    <w:p>
      <w:pPr>
        <w:spacing w:line="300" w:lineRule="auto"/>
        <w:ind w:firstLine="480" w:firstLineChars="200"/>
      </w:pPr>
      <w:r>
        <w:rPr>
          <w:rFonts w:hint="eastAsia"/>
        </w:rPr>
        <w:t>与宣传效果和贯彻效果的调查方法不同，针对立法宣传渠道的调查我们采取了多项选择的开放性问题，这项问题的设置旨在通过公众了解该办法的渠道进行统计分析从而达到从侧面了解立法宣传贯彻的情况的效果。在本次调查中，报刊杂志被选择了</w:t>
      </w:r>
      <w:r>
        <w:t>196</w:t>
      </w:r>
      <w:r>
        <w:rPr>
          <w:rFonts w:hint="eastAsia"/>
        </w:rPr>
        <w:t>次，占总统计次数的</w:t>
      </w:r>
      <w:r>
        <w:t>18.5%</w:t>
      </w:r>
      <w:r>
        <w:rPr>
          <w:rFonts w:hint="eastAsia"/>
        </w:rPr>
        <w:t>；广播电视被选择了</w:t>
      </w:r>
      <w:r>
        <w:t>224</w:t>
      </w:r>
      <w:r>
        <w:rPr>
          <w:rFonts w:hint="eastAsia"/>
        </w:rPr>
        <w:t>次，占总统计次数的</w:t>
      </w:r>
      <w:r>
        <w:t>21.2%</w:t>
      </w:r>
      <w:r>
        <w:rPr>
          <w:rFonts w:hint="eastAsia"/>
        </w:rPr>
        <w:t>；网络被选择了</w:t>
      </w:r>
      <w:r>
        <w:t>300</w:t>
      </w:r>
      <w:r>
        <w:rPr>
          <w:rFonts w:hint="eastAsia"/>
        </w:rPr>
        <w:t>次，占总统计次数的</w:t>
      </w:r>
      <w:r>
        <w:t>28.4%</w:t>
      </w:r>
      <w:r>
        <w:rPr>
          <w:rFonts w:hint="eastAsia"/>
        </w:rPr>
        <w:t>；民政部门宣传被选择了</w:t>
      </w:r>
      <w:r>
        <w:t>124</w:t>
      </w:r>
      <w:r>
        <w:rPr>
          <w:rFonts w:hint="eastAsia"/>
        </w:rPr>
        <w:t>次，占总统计数的</w:t>
      </w:r>
      <w:r>
        <w:t>11.7%</w:t>
      </w:r>
      <w:r>
        <w:rPr>
          <w:rFonts w:hint="eastAsia"/>
        </w:rPr>
        <w:t>；政府法制部门等其他有关部门宣传被选择了</w:t>
      </w:r>
      <w:r>
        <w:t>127</w:t>
      </w:r>
      <w:r>
        <w:rPr>
          <w:rFonts w:hint="eastAsia"/>
        </w:rPr>
        <w:t>次，占总统计次数的</w:t>
      </w:r>
      <w:r>
        <w:t>12.0%</w:t>
      </w:r>
      <w:r>
        <w:rPr>
          <w:rFonts w:hint="eastAsia"/>
        </w:rPr>
        <w:t>；其他渠道被选择了</w:t>
      </w:r>
      <w:r>
        <w:t>87</w:t>
      </w:r>
      <w:r>
        <w:rPr>
          <w:rFonts w:hint="eastAsia"/>
        </w:rPr>
        <w:t>次，占总统计次数的</w:t>
      </w:r>
      <w:r>
        <w:t>8.2%</w:t>
      </w:r>
      <w:r>
        <w:rPr>
          <w:rFonts w:hint="eastAsia"/>
        </w:rPr>
        <w:t>。具体情况如下表：</w:t>
      </w: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kern w:val="0"/>
          <w:sz w:val="21"/>
          <w:szCs w:val="21"/>
        </w:rPr>
        <w:t>表</w:t>
      </w:r>
      <w:r>
        <w:rPr>
          <w:rFonts w:ascii="Times New Roman" w:hAnsi="Times New Roman" w:eastAsia="宋体" w:cs="Times New Roman"/>
          <w:kern w:val="0"/>
          <w:sz w:val="21"/>
          <w:szCs w:val="21"/>
        </w:rPr>
        <w:t>5.17</w:t>
      </w:r>
      <w:r>
        <w:rPr>
          <w:rFonts w:hint="eastAsia" w:ascii="Times New Roman" w:hAnsi="Times New Roman" w:eastAsia="宋体" w:cs="Times New Roman"/>
          <w:kern w:val="0"/>
          <w:sz w:val="21"/>
          <w:szCs w:val="21"/>
        </w:rPr>
        <w:t>请问您是从何种渠道知道《办法》的？</w:t>
      </w:r>
    </w:p>
    <w:tbl>
      <w:tblPr>
        <w:tblStyle w:val="21"/>
        <w:tblW w:w="765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390"/>
        <w:gridCol w:w="1851"/>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请问您是从何种渠道知道《武汉市社会办养老福利机构管理办法》的？</w:t>
            </w:r>
          </w:p>
        </w:tc>
        <w:tc>
          <w:tcPr>
            <w:tcW w:w="4260"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统计情况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kern w:val="0"/>
                <w:sz w:val="21"/>
                <w:szCs w:val="21"/>
              </w:rPr>
            </w:pPr>
          </w:p>
        </w:tc>
        <w:tc>
          <w:tcPr>
            <w:tcW w:w="1851" w:type="dxa"/>
            <w:tcBorders>
              <w:top w:val="single" w:color="auto" w:sz="4" w:space="0"/>
              <w:left w:val="single" w:color="auto" w:sz="4" w:space="0"/>
              <w:bottom w:val="single" w:color="auto" w:sz="4" w:space="0"/>
              <w:right w:val="single" w:color="auto" w:sz="4"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被选择次数（响应量</w:t>
            </w:r>
            <w:r>
              <w:rPr>
                <w:rFonts w:ascii="Times New Roman" w:hAnsi="Times New Roman" w:eastAsia="宋体" w:cs="Times New Roman"/>
                <w:kern w:val="0"/>
                <w:sz w:val="21"/>
                <w:szCs w:val="21"/>
              </w:rPr>
              <w:t>N</w:t>
            </w:r>
            <w:r>
              <w:rPr>
                <w:rFonts w:hint="eastAsia" w:ascii="Times New Roman" w:hAnsi="Times New Roman" w:eastAsia="宋体" w:cs="Times New Roman"/>
                <w:kern w:val="0"/>
                <w:sz w:val="21"/>
                <w:szCs w:val="21"/>
              </w:rPr>
              <w:t>）</w:t>
            </w:r>
          </w:p>
        </w:tc>
        <w:tc>
          <w:tcPr>
            <w:tcW w:w="2409" w:type="dxa"/>
            <w:tcBorders>
              <w:top w:val="single" w:color="auto" w:sz="4" w:space="0"/>
              <w:left w:val="single" w:color="auto" w:sz="4" w:space="0"/>
              <w:bottom w:val="single" w:color="auto" w:sz="4" w:space="0"/>
              <w:right w:val="single" w:color="auto" w:sz="4"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报刊杂志</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196</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广播电视</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224</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网络</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300</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民政部门宣传</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124</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政府法制部门等其他有关部门宣传</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其他</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87</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blHeader/>
        </w:trPr>
        <w:tc>
          <w:tcPr>
            <w:tcW w:w="3390"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总计</w:t>
            </w:r>
          </w:p>
        </w:tc>
        <w:tc>
          <w:tcPr>
            <w:tcW w:w="1851"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1058</w:t>
            </w:r>
          </w:p>
        </w:tc>
        <w:tc>
          <w:tcPr>
            <w:tcW w:w="2409" w:type="dxa"/>
            <w:tcBorders>
              <w:top w:val="single" w:color="auto" w:sz="4" w:space="0"/>
              <w:left w:val="single" w:color="auto" w:sz="4" w:space="0"/>
              <w:bottom w:val="single" w:color="auto" w:sz="4" w:space="0"/>
              <w:right w:val="single" w:color="auto" w:sz="4"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从上表可以看出公众主要了解《办法》的渠道还是来自于主流媒体，占到了总体的</w:t>
      </w:r>
      <w:r>
        <w:rPr>
          <w:rFonts w:ascii="Times New Roman" w:hAnsi="Times New Roman" w:eastAsia="宋体" w:cs="Times New Roman"/>
          <w:szCs w:val="21"/>
        </w:rPr>
        <w:t>68.1%</w:t>
      </w:r>
      <w:r>
        <w:rPr>
          <w:rFonts w:hint="eastAsia" w:ascii="Times New Roman" w:hAnsi="Times New Roman" w:eastAsia="宋体" w:cs="Times New Roman"/>
          <w:szCs w:val="21"/>
        </w:rPr>
        <w:t>，其中网络所占比重最大高达</w:t>
      </w:r>
      <w:r>
        <w:rPr>
          <w:rFonts w:ascii="Times New Roman" w:hAnsi="Times New Roman" w:eastAsia="宋体" w:cs="Times New Roman"/>
          <w:szCs w:val="21"/>
        </w:rPr>
        <w:t>28.4%</w:t>
      </w:r>
      <w:r>
        <w:rPr>
          <w:rFonts w:hint="eastAsia" w:ascii="Times New Roman" w:hAnsi="Times New Roman" w:eastAsia="宋体" w:cs="Times New Roman"/>
          <w:szCs w:val="21"/>
        </w:rPr>
        <w:t>，与之相反的，通过政府等渠道了解该《办法》相对很少，只占到总体的</w:t>
      </w:r>
      <w:r>
        <w:rPr>
          <w:rFonts w:ascii="Times New Roman" w:hAnsi="Times New Roman" w:eastAsia="宋体" w:cs="Times New Roman"/>
          <w:szCs w:val="21"/>
        </w:rPr>
        <w:t>23.7%</w:t>
      </w:r>
      <w:r>
        <w:rPr>
          <w:rFonts w:hint="eastAsia" w:ascii="Times New Roman" w:hAnsi="Times New Roman" w:eastAsia="宋体" w:cs="Times New Roman"/>
          <w:szCs w:val="21"/>
        </w:rPr>
        <w:t>。主流媒体渠道所造成的宣传效果要远远高于政府等宣传渠道，这在一定程度上反映了该</w:t>
      </w:r>
      <w:r>
        <w:rPr>
          <w:rFonts w:hint="eastAsia"/>
        </w:rPr>
        <w:t>《办法》</w:t>
      </w:r>
      <w:r>
        <w:rPr>
          <w:rFonts w:hint="eastAsia" w:ascii="Times New Roman" w:hAnsi="Times New Roman" w:eastAsia="宋体" w:cs="Times New Roman"/>
          <w:szCs w:val="21"/>
        </w:rPr>
        <w:t>在立法宣传贯彻的过程中可能存在效率不高的情况。</w:t>
      </w:r>
    </w:p>
    <w:p>
      <w:pPr>
        <w:spacing w:line="300" w:lineRule="auto"/>
        <w:ind w:firstLine="480" w:firstLineChars="200"/>
      </w:pPr>
      <w:r>
        <w:t>4.</w:t>
      </w:r>
      <w:r>
        <w:rPr>
          <w:rFonts w:hint="eastAsia"/>
        </w:rPr>
        <w:t>小结</w:t>
      </w:r>
    </w:p>
    <w:p>
      <w:pPr>
        <w:spacing w:line="300" w:lineRule="auto"/>
        <w:ind w:firstLine="480" w:firstLineChars="200"/>
      </w:pPr>
      <w:bookmarkStart w:id="10" w:name="_Hlk516252449"/>
      <w:r>
        <w:rPr>
          <w:rFonts w:hint="eastAsia"/>
        </w:rPr>
        <w:t>综合上述，对于《办法》推行至今的立法宣传贯彻效果的分析如下：对于该《办法》的推行达到了一定的宣传贯彻效果，总体来说宣传效果要优于贯彻效果，在贯彻落实立法宣传方面存在瑕疵，这使得大部分公众对于该《办法》虽处于知晓的状态，但能够贯彻遵守该《办法》的公众只占一小部分，因此还需要加强贯彻落实的力度，尤其是针对不同的公众群体要制定具有针对性的宣传方案和贯彻方法。另一方面，从公众获取了解立法信息的渠道角度出发，主要渠道已经变为报刊杂志、网络、电视等快捷渠道，这些渠道能够很快的达到宣传效果，但是贯彻效果却不如政府等相关部门的宣传，也是导致立法宣传效果大于贯彻效果的原因之一。</w:t>
      </w:r>
      <w:bookmarkEnd w:id="10"/>
    </w:p>
    <w:p>
      <w:pPr>
        <w:spacing w:line="300" w:lineRule="auto"/>
        <w:ind w:firstLine="480" w:firstLineChars="200"/>
      </w:pPr>
      <w:r>
        <w:rPr>
          <w:rFonts w:hint="eastAsia"/>
        </w:rPr>
        <w:t>（二）配套性文件制定情况</w:t>
      </w:r>
      <w:bookmarkStart w:id="11" w:name="_Hlk516298262"/>
    </w:p>
    <w:p>
      <w:pPr>
        <w:spacing w:line="300" w:lineRule="auto"/>
        <w:ind w:firstLine="480" w:firstLineChars="200"/>
      </w:pPr>
      <w:r>
        <w:t>1.</w:t>
      </w:r>
      <w:r>
        <w:rPr>
          <w:rFonts w:hint="eastAsia"/>
        </w:rPr>
        <w:t>设立程序</w:t>
      </w:r>
      <w:bookmarkEnd w:id="11"/>
    </w:p>
    <w:p>
      <w:pPr>
        <w:spacing w:line="300" w:lineRule="auto"/>
        <w:ind w:firstLine="480" w:firstLineChars="200"/>
      </w:pPr>
      <w:r>
        <w:rPr>
          <w:rFonts w:hint="eastAsia"/>
        </w:rPr>
        <w:t>社会办养老福利机构设立程序包括筹建审批、机构设置审批、民办非企业单位登记或者工商登记手续，相关配套性文件包括国务颁发的《民办非企业单位登记管理暂行条例》、民政部《社会福利机构管理暂行办法》的相关规定，以及《社会福利机构筹建批复书》、《社会福利机构设置批准证书》和《民办非企业单位登记证书》的设立。</w:t>
      </w:r>
    </w:p>
    <w:p>
      <w:pPr>
        <w:spacing w:line="300" w:lineRule="auto"/>
        <w:ind w:firstLine="480" w:firstLineChars="200"/>
      </w:pPr>
      <w:r>
        <w:t>2.</w:t>
      </w:r>
      <w:r>
        <w:rPr>
          <w:rFonts w:hint="eastAsia"/>
        </w:rPr>
        <w:t>运营规范</w:t>
      </w:r>
    </w:p>
    <w:p>
      <w:pPr>
        <w:spacing w:line="300" w:lineRule="auto"/>
        <w:ind w:firstLine="480" w:firstLineChars="200"/>
      </w:pPr>
      <w:r>
        <w:rPr>
          <w:rFonts w:hint="eastAsia"/>
        </w:rPr>
        <w:t>《办法》关于社会办养老福利机构运营规范提出了社会办养老福利机构服务合同的统一要求，并由市民政部门会同市工商部门组织行业协会共同制定了《社会办养老福利机构服务合同示范文本》。</w:t>
      </w:r>
    </w:p>
    <w:p>
      <w:pPr>
        <w:spacing w:line="300" w:lineRule="auto"/>
        <w:ind w:firstLine="480" w:firstLineChars="200"/>
      </w:pPr>
      <w:r>
        <w:t>3.</w:t>
      </w:r>
      <w:r>
        <w:rPr>
          <w:rFonts w:hint="eastAsia"/>
        </w:rPr>
        <w:t>资助扶持</w:t>
      </w:r>
    </w:p>
    <w:p>
      <w:pPr>
        <w:spacing w:line="300" w:lineRule="auto"/>
        <w:ind w:firstLine="480" w:firstLineChars="200"/>
      </w:pPr>
      <w:r>
        <w:rPr>
          <w:rFonts w:hint="eastAsia"/>
        </w:rPr>
        <w:t>《办法》不仅让社会办养老机构可以依据国家、省、市现行文件享受优惠政策，而且还给予一定的税费减免和公益性岗位补贴以及水、电、气、有线电视等方面的其他优惠政策。针对此项规定武汉市每年都对武汉民办养老院扶持政策及补贴标准文件进行修改和完善。</w:t>
      </w:r>
    </w:p>
    <w:p>
      <w:pPr>
        <w:spacing w:line="300" w:lineRule="auto"/>
        <w:ind w:firstLine="480" w:firstLineChars="200"/>
      </w:pPr>
      <w:r>
        <w:t>4.</w:t>
      </w:r>
      <w:r>
        <w:rPr>
          <w:rFonts w:hint="eastAsia"/>
        </w:rPr>
        <w:t>监督管理</w:t>
      </w:r>
    </w:p>
    <w:p>
      <w:pPr>
        <w:spacing w:line="300" w:lineRule="auto"/>
        <w:ind w:firstLine="480" w:firstLineChars="200"/>
      </w:pPr>
      <w:r>
        <w:rPr>
          <w:rFonts w:hint="eastAsia"/>
        </w:rPr>
        <w:t>《办法》在社会养老福利机构的监督管理方面提出了加强监督检查明确检查标准的要求，并由行业协会组织制定了社会办养老福利机构运营服务检查评价标准。</w:t>
      </w:r>
    </w:p>
    <w:p>
      <w:pPr>
        <w:spacing w:line="300" w:lineRule="auto"/>
        <w:ind w:firstLine="480" w:firstLineChars="200"/>
      </w:pPr>
      <w:r>
        <w:t>5.</w:t>
      </w:r>
      <w:r>
        <w:rPr>
          <w:rFonts w:hint="eastAsia"/>
        </w:rPr>
        <w:t>法律责任</w:t>
      </w:r>
    </w:p>
    <w:p>
      <w:pPr>
        <w:spacing w:line="300" w:lineRule="auto"/>
        <w:ind w:firstLine="480" w:firstLineChars="200"/>
      </w:pPr>
      <w:r>
        <w:rPr>
          <w:rFonts w:hint="eastAsia"/>
        </w:rPr>
        <w:t>为保障实施效果，《办法》针对当前存在的问题和违反相关行为规范要求的社会养老福利机构制定了相应的处罚措施，其中包括的配套性文件有《无照经营查处取缔办法》以及《民办非企业单位登记管理暂行条例》。</w:t>
      </w:r>
    </w:p>
    <w:p>
      <w:pPr>
        <w:spacing w:line="300" w:lineRule="auto"/>
        <w:ind w:firstLine="480" w:firstLineChars="200"/>
      </w:pPr>
      <w:r>
        <w:t>6.</w:t>
      </w:r>
      <w:r>
        <w:rPr>
          <w:rFonts w:hint="eastAsia"/>
        </w:rPr>
        <w:t>小结</w:t>
      </w:r>
    </w:p>
    <w:p>
      <w:pPr>
        <w:spacing w:line="300" w:lineRule="auto"/>
        <w:ind w:firstLine="480" w:firstLineChars="200"/>
      </w:pPr>
      <w:r>
        <w:rPr>
          <w:rFonts w:hint="eastAsia"/>
        </w:rPr>
        <w:t>综上所述的配套性文件制定情况来看，《办法》从设立程序开始到法律责任分配的每个环节都有充足的文书依据和法律支撑，此外，在各个环节当中也根据相关内容制定了相应配套性文件，所以该《办法》的配套性文件制定情况良好，不存在瑕疵。</w:t>
      </w:r>
    </w:p>
    <w:p>
      <w:pPr>
        <w:spacing w:line="300" w:lineRule="auto"/>
        <w:ind w:firstLine="480" w:firstLineChars="200"/>
      </w:pPr>
      <w:r>
        <w:rPr>
          <w:rFonts w:hint="eastAsia"/>
        </w:rPr>
        <w:t>（三）制度建设、执行情况</w:t>
      </w:r>
    </w:p>
    <w:p>
      <w:pPr>
        <w:spacing w:line="300" w:lineRule="auto"/>
        <w:ind w:firstLine="480" w:firstLineChars="200"/>
      </w:pPr>
      <w:r>
        <w:rPr>
          <w:rFonts w:hint="eastAsia"/>
        </w:rPr>
        <w:t>《办法》的出台为武汉市养老服务事业发展提供了有力的法治保障，旨在充分维护社会办养老福利机构和入住老人的合法权益，确保社会办养老福利机构有序发展。本次调研主要了解该办法实施后在公众眼中的变化，通过统计公众对这些变化的认可程度来从侧面了解该《办法》的执行实施情况，其制度建设是否有效以及是否达到了立法目的。</w:t>
      </w:r>
    </w:p>
    <w:p>
      <w:pPr>
        <w:spacing w:line="300" w:lineRule="auto"/>
        <w:ind w:firstLine="480" w:firstLineChars="200"/>
      </w:pPr>
      <w:r>
        <w:t>1.</w:t>
      </w:r>
      <w:r>
        <w:rPr>
          <w:rFonts w:hint="eastAsia"/>
        </w:rPr>
        <w:t>执行实施情况</w:t>
      </w:r>
    </w:p>
    <w:p>
      <w:pPr>
        <w:spacing w:line="300" w:lineRule="auto"/>
        <w:ind w:firstLine="480" w:firstLineChars="200"/>
      </w:pPr>
      <w:r>
        <w:rPr>
          <w:rFonts w:hint="eastAsia"/>
        </w:rPr>
        <w:t>第一，整体分析：</w:t>
      </w:r>
    </w:p>
    <w:p>
      <w:pPr>
        <w:spacing w:line="300" w:lineRule="auto"/>
        <w:ind w:firstLine="480" w:firstLineChars="200"/>
      </w:pPr>
      <w:bookmarkStart w:id="12" w:name="_Hlk516246757"/>
      <w:r>
        <w:rPr>
          <w:rFonts w:hint="eastAsia"/>
        </w:rPr>
        <w:t>在此部分的调查中我们认为只要样本给出的选择在有所好转、基本实现以及作用较大等程度以上时，就视为公众对该办法的实施执行情况认可和满意，而其他的选项则视为该办法实施执行情况没有得到认可。</w:t>
      </w:r>
      <w:bookmarkEnd w:id="12"/>
    </w:p>
    <w:p>
      <w:pPr>
        <w:spacing w:line="300" w:lineRule="auto"/>
        <w:ind w:firstLine="480" w:firstLineChars="200"/>
      </w:pPr>
      <w:r>
        <w:rPr>
          <w:rFonts w:hint="eastAsia"/>
        </w:rPr>
        <w:t>《办法》实施后，对于武汉市社会办养老福利机构管理状况问题，多数公众对于管理状况的改善予以肯定，少部分公众尚未感受到武汉市社会办养老福利机构管理的变化。具体为认为有明显好转的人有</w:t>
      </w:r>
      <w:r>
        <w:t>102</w:t>
      </w:r>
      <w:r>
        <w:rPr>
          <w:rFonts w:hint="eastAsia"/>
        </w:rPr>
        <w:t>人，占总样本人数的</w:t>
      </w:r>
      <w:r>
        <w:t>12.8%</w:t>
      </w:r>
      <w:r>
        <w:rPr>
          <w:rFonts w:hint="eastAsia"/>
        </w:rPr>
        <w:t>；认为有所好转的人有</w:t>
      </w:r>
      <w:r>
        <w:t>416</w:t>
      </w:r>
      <w:r>
        <w:rPr>
          <w:rFonts w:hint="eastAsia"/>
        </w:rPr>
        <w:t>人，占总样本人数的</w:t>
      </w:r>
      <w:r>
        <w:t>52.0%</w:t>
      </w:r>
      <w:r>
        <w:rPr>
          <w:rFonts w:hint="eastAsia"/>
        </w:rPr>
        <w:t>；认为没有好转的人有</w:t>
      </w:r>
      <w:r>
        <w:t>124</w:t>
      </w:r>
      <w:r>
        <w:rPr>
          <w:rFonts w:hint="eastAsia"/>
        </w:rPr>
        <w:t>人，占总样本人数的</w:t>
      </w:r>
      <w:r>
        <w:t>15.5%</w:t>
      </w:r>
      <w:r>
        <w:rPr>
          <w:rFonts w:hint="eastAsia"/>
        </w:rPr>
        <w:t>；不清楚的有</w:t>
      </w:r>
      <w:r>
        <w:t>158</w:t>
      </w:r>
      <w:r>
        <w:rPr>
          <w:rFonts w:hint="eastAsia"/>
        </w:rPr>
        <w:t>人，占总样本人数的</w:t>
      </w:r>
      <w:r>
        <w:t>19.8%</w:t>
      </w:r>
      <w:r>
        <w:rPr>
          <w:rFonts w:hint="eastAsia"/>
        </w:rPr>
        <w:t>，如下图表所示。</w:t>
      </w:r>
    </w:p>
    <w:tbl>
      <w:tblPr>
        <w:tblStyle w:val="21"/>
        <w:tblW w:w="6090" w:type="dxa"/>
        <w:tblInd w:w="83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078"/>
        <w:gridCol w:w="944"/>
        <w:gridCol w:w="991"/>
        <w:gridCol w:w="1193"/>
        <w:gridCol w:w="18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090" w:type="dxa"/>
            <w:gridSpan w:val="6"/>
            <w:tcBorders>
              <w:top w:val="nil"/>
              <w:left w:val="nil"/>
              <w:bottom w:val="nil"/>
              <w:right w:val="nil"/>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5.18</w:t>
            </w:r>
            <w:r>
              <w:rPr>
                <w:rFonts w:hint="eastAsia" w:ascii="Times New Roman" w:hAnsi="Times New Roman" w:eastAsia="宋体" w:cs="Times New Roman"/>
                <w:bCs/>
                <w:kern w:val="0"/>
                <w:sz w:val="21"/>
                <w:szCs w:val="21"/>
              </w:rPr>
              <w:t>《办法》实施后，您认为武汉市社会办养老福利机构管理状况有何变化？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21"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944"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991"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193"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841"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w:t>
            </w:r>
          </w:p>
        </w:tc>
        <w:tc>
          <w:tcPr>
            <w:tcW w:w="1078"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明显好转</w:t>
            </w:r>
          </w:p>
        </w:tc>
        <w:tc>
          <w:tcPr>
            <w:tcW w:w="94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102</w:t>
            </w:r>
          </w:p>
        </w:tc>
        <w:tc>
          <w:tcPr>
            <w:tcW w:w="99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12.8</w:t>
            </w:r>
          </w:p>
        </w:tc>
        <w:tc>
          <w:tcPr>
            <w:tcW w:w="119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12.8</w:t>
            </w:r>
          </w:p>
        </w:tc>
        <w:tc>
          <w:tcPr>
            <w:tcW w:w="1841"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7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有所好转</w:t>
            </w:r>
          </w:p>
        </w:tc>
        <w:tc>
          <w:tcPr>
            <w:tcW w:w="94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416</w:t>
            </w:r>
          </w:p>
        </w:tc>
        <w:tc>
          <w:tcPr>
            <w:tcW w:w="99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52.0</w:t>
            </w:r>
          </w:p>
        </w:tc>
        <w:tc>
          <w:tcPr>
            <w:tcW w:w="11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52.0</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7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没有好转</w:t>
            </w:r>
          </w:p>
        </w:tc>
        <w:tc>
          <w:tcPr>
            <w:tcW w:w="94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124</w:t>
            </w:r>
          </w:p>
        </w:tc>
        <w:tc>
          <w:tcPr>
            <w:tcW w:w="99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1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7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94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158</w:t>
            </w:r>
          </w:p>
        </w:tc>
        <w:tc>
          <w:tcPr>
            <w:tcW w:w="99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19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78"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94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99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9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841"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autoSpaceDE w:val="0"/>
        <w:autoSpaceDN w:val="0"/>
        <w:adjustRightInd w:val="0"/>
        <w:spacing w:line="300" w:lineRule="auto"/>
        <w:ind w:firstLine="420" w:firstLineChars="200"/>
        <w:jc w:val="left"/>
        <w:rPr>
          <w:rFonts w:ascii="Times New Roman" w:hAnsi="Times New Roman" w:eastAsia="宋体" w:cs="Times New Roman"/>
          <w:kern w:val="0"/>
          <w:sz w:val="21"/>
          <w:szCs w:val="21"/>
        </w:rPr>
      </w:pPr>
    </w:p>
    <w:p>
      <w:pPr>
        <w:autoSpaceDE w:val="0"/>
        <w:autoSpaceDN w:val="0"/>
        <w:adjustRightInd w:val="0"/>
        <w:spacing w:line="300" w:lineRule="auto"/>
        <w:ind w:firstLine="480" w:firstLineChars="200"/>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办法》的立法目的是规范社会办养老福利机构管理，维护社会办养老福利机构及其老年人的合法权益，促进社会养老福利事业发展。立法目的作为立法背后的价值体现，具有十分重要的作用。根据调查报告显示，其中认为实现了立法目的的人有</w:t>
      </w:r>
      <w:r>
        <w:rPr>
          <w:rFonts w:ascii="Times New Roman" w:hAnsi="Times New Roman" w:eastAsia="宋体" w:cs="Times New Roman"/>
          <w:kern w:val="0"/>
          <w:szCs w:val="21"/>
        </w:rPr>
        <w:t>85</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10.6%</w:t>
      </w:r>
      <w:r>
        <w:rPr>
          <w:rFonts w:hint="eastAsia" w:ascii="Times New Roman" w:hAnsi="Times New Roman" w:eastAsia="宋体" w:cs="Times New Roman"/>
          <w:szCs w:val="21"/>
        </w:rPr>
        <w:t>；认为基本实现立法目的的人有</w:t>
      </w:r>
      <w:r>
        <w:rPr>
          <w:rFonts w:ascii="Times New Roman" w:hAnsi="Times New Roman" w:eastAsia="宋体" w:cs="Times New Roman"/>
          <w:szCs w:val="21"/>
        </w:rPr>
        <w:t>375</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46.9%</w:t>
      </w:r>
      <w:r>
        <w:rPr>
          <w:rFonts w:hint="eastAsia" w:ascii="Times New Roman" w:hAnsi="Times New Roman" w:eastAsia="宋体" w:cs="Times New Roman"/>
          <w:szCs w:val="21"/>
        </w:rPr>
        <w:t>；认为没有实现立法目的的人有</w:t>
      </w:r>
      <w:r>
        <w:rPr>
          <w:rFonts w:ascii="Times New Roman" w:hAnsi="Times New Roman" w:eastAsia="宋体" w:cs="Times New Roman"/>
          <w:szCs w:val="21"/>
        </w:rPr>
        <w:t>186</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23.3%</w:t>
      </w:r>
      <w:r>
        <w:rPr>
          <w:rFonts w:hint="eastAsia" w:ascii="Times New Roman" w:hAnsi="Times New Roman" w:eastAsia="宋体" w:cs="Times New Roman"/>
          <w:szCs w:val="21"/>
        </w:rPr>
        <w:t>，不清楚的有</w:t>
      </w:r>
      <w:r>
        <w:rPr>
          <w:rFonts w:ascii="Times New Roman" w:hAnsi="Times New Roman" w:eastAsia="宋体" w:cs="Times New Roman"/>
          <w:szCs w:val="21"/>
        </w:rPr>
        <w:t>154</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19.3%</w:t>
      </w:r>
      <w:r>
        <w:rPr>
          <w:rFonts w:hint="eastAsia" w:ascii="Times New Roman" w:hAnsi="Times New Roman" w:eastAsia="宋体" w:cs="Times New Roman"/>
          <w:szCs w:val="21"/>
        </w:rPr>
        <w:t>，如下表所示。</w:t>
      </w:r>
    </w:p>
    <w:tbl>
      <w:tblPr>
        <w:tblStyle w:val="21"/>
        <w:tblW w:w="6240" w:type="dxa"/>
        <w:tblInd w:w="87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097"/>
        <w:gridCol w:w="1037"/>
        <w:gridCol w:w="1064"/>
        <w:gridCol w:w="1104"/>
        <w:gridCol w:w="189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240"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bookmarkStart w:id="13" w:name="_Hlk514841079"/>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5.19 </w:t>
            </w:r>
            <w:r>
              <w:rPr>
                <w:rFonts w:hint="eastAsia" w:ascii="Times New Roman" w:hAnsi="Times New Roman" w:eastAsia="宋体" w:cs="Times New Roman"/>
                <w:bCs/>
                <w:kern w:val="0"/>
                <w:sz w:val="21"/>
                <w:szCs w:val="21"/>
              </w:rPr>
              <w:t>您认为《办法》</w:t>
            </w:r>
            <w:r>
              <w:rPr>
                <w:rFonts w:ascii="Times New Roman" w:hAnsi="Times New Roman" w:eastAsia="宋体" w:cs="Times New Roman"/>
                <w:bCs/>
                <w:kern w:val="0"/>
                <w:sz w:val="21"/>
                <w:szCs w:val="21"/>
              </w:rPr>
              <w:t>“</w:t>
            </w:r>
            <w:r>
              <w:rPr>
                <w:rFonts w:hint="eastAsia" w:ascii="Times New Roman" w:hAnsi="Times New Roman" w:eastAsia="宋体" w:cs="Times New Roman"/>
                <w:bCs/>
                <w:kern w:val="0"/>
                <w:sz w:val="21"/>
                <w:szCs w:val="21"/>
              </w:rPr>
              <w:t>规范社会办养老福利机构管理，维护社会办养老福利机构及其老年人的合法权益，促进社会养老福利事业发展</w:t>
            </w:r>
            <w:r>
              <w:rPr>
                <w:rFonts w:ascii="Times New Roman" w:hAnsi="Times New Roman" w:eastAsia="宋体" w:cs="Times New Roman"/>
                <w:bCs/>
                <w:kern w:val="0"/>
                <w:sz w:val="21"/>
                <w:szCs w:val="21"/>
              </w:rPr>
              <w:t>”</w:t>
            </w:r>
            <w:r>
              <w:rPr>
                <w:rFonts w:hint="eastAsia" w:ascii="Times New Roman" w:hAnsi="Times New Roman" w:eastAsia="宋体" w:cs="Times New Roman"/>
                <w:bCs/>
                <w:kern w:val="0"/>
                <w:sz w:val="21"/>
                <w:szCs w:val="21"/>
              </w:rPr>
              <w:t>的立法目的是否实现？</w:t>
            </w:r>
            <w:bookmarkEnd w:id="13"/>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40"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37"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06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10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895"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w:t>
            </w:r>
          </w:p>
        </w:tc>
        <w:tc>
          <w:tcPr>
            <w:tcW w:w="1097"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实现</w:t>
            </w:r>
          </w:p>
        </w:tc>
        <w:tc>
          <w:tcPr>
            <w:tcW w:w="103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85</w:t>
            </w:r>
          </w:p>
        </w:tc>
        <w:tc>
          <w:tcPr>
            <w:tcW w:w="106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10.6</w:t>
            </w:r>
          </w:p>
        </w:tc>
        <w:tc>
          <w:tcPr>
            <w:tcW w:w="110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10.6</w:t>
            </w:r>
          </w:p>
        </w:tc>
        <w:tc>
          <w:tcPr>
            <w:tcW w:w="1895"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9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基本实现</w:t>
            </w:r>
          </w:p>
        </w:tc>
        <w:tc>
          <w:tcPr>
            <w:tcW w:w="103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375</w:t>
            </w:r>
          </w:p>
        </w:tc>
        <w:tc>
          <w:tcPr>
            <w:tcW w:w="106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46.9</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46.9</w:t>
            </w:r>
          </w:p>
        </w:tc>
        <w:tc>
          <w:tcPr>
            <w:tcW w:w="189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57.5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9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没有实现</w:t>
            </w:r>
          </w:p>
        </w:tc>
        <w:tc>
          <w:tcPr>
            <w:tcW w:w="103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186</w:t>
            </w:r>
          </w:p>
        </w:tc>
        <w:tc>
          <w:tcPr>
            <w:tcW w:w="106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23.3</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23.3</w:t>
            </w:r>
          </w:p>
        </w:tc>
        <w:tc>
          <w:tcPr>
            <w:tcW w:w="189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9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3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154</w:t>
            </w:r>
          </w:p>
        </w:tc>
        <w:tc>
          <w:tcPr>
            <w:tcW w:w="106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89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97"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3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06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895"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autoSpaceDE w:val="0"/>
        <w:autoSpaceDN w:val="0"/>
        <w:adjustRightInd w:val="0"/>
        <w:spacing w:line="300" w:lineRule="auto"/>
        <w:jc w:val="center"/>
        <w:rPr>
          <w:rFonts w:ascii="Times New Roman" w:hAnsi="Times New Roman" w:eastAsia="宋体" w:cs="Times New Roman"/>
          <w:kern w:val="0"/>
          <w:szCs w:val="21"/>
        </w:rPr>
      </w:pPr>
      <w:bookmarkStart w:id="14" w:name="_Hlk516214917"/>
    </w:p>
    <w:p>
      <w:pPr>
        <w:autoSpaceDE w:val="0"/>
        <w:autoSpaceDN w:val="0"/>
        <w:adjustRightInd w:val="0"/>
        <w:spacing w:line="300" w:lineRule="auto"/>
        <w:ind w:firstLine="480" w:firstLineChars="200"/>
        <w:rPr>
          <w:rFonts w:ascii="Times New Roman" w:hAnsi="Times New Roman" w:eastAsia="宋体" w:cs="Times New Roman"/>
          <w:kern w:val="0"/>
          <w:szCs w:val="21"/>
        </w:rPr>
      </w:pPr>
      <w:r>
        <w:rPr>
          <w:rFonts w:hint="eastAsia" w:ascii="Times New Roman" w:hAnsi="Times New Roman" w:eastAsia="宋体" w:cs="Times New Roman"/>
          <w:kern w:val="0"/>
          <w:szCs w:val="21"/>
        </w:rPr>
        <w:t>从社会公众角度出发，结合目前所调研的情况反馈，公众认为该《办法》的实施效果达到较为良好的状态，对于武汉市社会办养老福利机构的管理部门和相关从业人员的情况属于基本满意。</w:t>
      </w:r>
    </w:p>
    <w:p>
      <w:pPr>
        <w:autoSpaceDE w:val="0"/>
        <w:autoSpaceDN w:val="0"/>
        <w:adjustRightInd w:val="0"/>
        <w:spacing w:line="300" w:lineRule="auto"/>
        <w:ind w:firstLine="480" w:firstLineChars="200"/>
        <w:rPr>
          <w:rFonts w:ascii="Times New Roman" w:hAnsi="Times New Roman" w:eastAsia="宋体" w:cs="Times New Roman"/>
          <w:kern w:val="0"/>
          <w:szCs w:val="21"/>
        </w:rPr>
      </w:pPr>
      <w:bookmarkStart w:id="15" w:name="_Hlk516247626"/>
      <w:r>
        <w:rPr>
          <w:rFonts w:hint="eastAsia" w:ascii="Times New Roman" w:hAnsi="Times New Roman" w:eastAsia="宋体" w:cs="Times New Roman"/>
          <w:bCs/>
          <w:kern w:val="0"/>
          <w:szCs w:val="21"/>
        </w:rPr>
        <w:t>关于《办法》提高人们对社会办养老福利机构的意识作用的方面，</w:t>
      </w:r>
      <w:r>
        <w:rPr>
          <w:rFonts w:hint="eastAsia" w:ascii="Times New Roman" w:hAnsi="Times New Roman" w:eastAsia="宋体" w:cs="Times New Roman"/>
          <w:kern w:val="0"/>
          <w:szCs w:val="21"/>
        </w:rPr>
        <w:t>结合数据统计，认为作用很大的人有</w:t>
      </w:r>
      <w:r>
        <w:rPr>
          <w:rFonts w:ascii="Times New Roman" w:hAnsi="Times New Roman" w:eastAsia="宋体" w:cs="Times New Roman"/>
          <w:kern w:val="0"/>
          <w:szCs w:val="21"/>
        </w:rPr>
        <w:t>104</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13.0%</w:t>
      </w:r>
      <w:r>
        <w:rPr>
          <w:rFonts w:hint="eastAsia" w:ascii="Times New Roman" w:hAnsi="Times New Roman" w:eastAsia="宋体" w:cs="Times New Roman"/>
          <w:szCs w:val="21"/>
        </w:rPr>
        <w:t>；认为作用较大的人有</w:t>
      </w:r>
      <w:r>
        <w:rPr>
          <w:rFonts w:ascii="Times New Roman" w:hAnsi="Times New Roman" w:eastAsia="宋体" w:cs="Times New Roman"/>
          <w:szCs w:val="21"/>
        </w:rPr>
        <w:t>332</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41.5%</w:t>
      </w:r>
      <w:r>
        <w:rPr>
          <w:rFonts w:hint="eastAsia" w:ascii="Times New Roman" w:hAnsi="Times New Roman" w:eastAsia="宋体" w:cs="Times New Roman"/>
          <w:szCs w:val="21"/>
        </w:rPr>
        <w:t>；认为作用一般的人有</w:t>
      </w:r>
      <w:r>
        <w:rPr>
          <w:rFonts w:ascii="Times New Roman" w:hAnsi="Times New Roman" w:eastAsia="宋体" w:cs="Times New Roman"/>
          <w:szCs w:val="21"/>
        </w:rPr>
        <w:t>253</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31.6%</w:t>
      </w:r>
      <w:r>
        <w:rPr>
          <w:rFonts w:hint="eastAsia" w:ascii="Times New Roman" w:hAnsi="Times New Roman" w:eastAsia="宋体" w:cs="Times New Roman"/>
          <w:szCs w:val="21"/>
        </w:rPr>
        <w:t>，不清楚的有</w:t>
      </w:r>
      <w:r>
        <w:rPr>
          <w:rFonts w:ascii="Times New Roman" w:hAnsi="Times New Roman" w:eastAsia="宋体" w:cs="Times New Roman"/>
          <w:szCs w:val="21"/>
        </w:rPr>
        <w:t>111</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13.9%</w:t>
      </w:r>
      <w:r>
        <w:rPr>
          <w:rFonts w:hint="eastAsia" w:ascii="Times New Roman" w:hAnsi="Times New Roman" w:eastAsia="宋体" w:cs="Times New Roman"/>
          <w:szCs w:val="21"/>
        </w:rPr>
        <w:t>，如下表所示。</w:t>
      </w:r>
    </w:p>
    <w:bookmarkEnd w:id="14"/>
    <w:bookmarkEnd w:id="15"/>
    <w:tbl>
      <w:tblPr>
        <w:tblStyle w:val="21"/>
        <w:tblW w:w="5655" w:type="dxa"/>
        <w:tblInd w:w="99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
        <w:gridCol w:w="1030"/>
        <w:gridCol w:w="1057"/>
        <w:gridCol w:w="850"/>
        <w:gridCol w:w="1276"/>
        <w:gridCol w:w="13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655"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5.20 </w:t>
            </w:r>
            <w:r>
              <w:rPr>
                <w:rFonts w:hint="eastAsia" w:ascii="Times New Roman" w:hAnsi="Times New Roman" w:eastAsia="宋体" w:cs="Times New Roman"/>
                <w:bCs/>
                <w:kern w:val="0"/>
                <w:sz w:val="21"/>
                <w:szCs w:val="21"/>
              </w:rPr>
              <w:t>您认为《办法》对提高人们对社会办养老福利机构的意识作用如何？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074"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57"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850"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6"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398"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1030"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作用很大</w:t>
            </w:r>
          </w:p>
        </w:tc>
        <w:tc>
          <w:tcPr>
            <w:tcW w:w="105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104</w:t>
            </w:r>
          </w:p>
        </w:tc>
        <w:tc>
          <w:tcPr>
            <w:tcW w:w="85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13.0</w:t>
            </w:r>
          </w:p>
        </w:tc>
        <w:tc>
          <w:tcPr>
            <w:tcW w:w="12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13.0</w:t>
            </w:r>
          </w:p>
        </w:tc>
        <w:tc>
          <w:tcPr>
            <w:tcW w:w="139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作用较大</w:t>
            </w:r>
          </w:p>
        </w:tc>
        <w:tc>
          <w:tcPr>
            <w:tcW w:w="105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332</w:t>
            </w:r>
          </w:p>
        </w:tc>
        <w:tc>
          <w:tcPr>
            <w:tcW w:w="85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41.5</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41.5</w:t>
            </w:r>
          </w:p>
        </w:tc>
        <w:tc>
          <w:tcPr>
            <w:tcW w:w="13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作用一般</w:t>
            </w:r>
          </w:p>
        </w:tc>
        <w:tc>
          <w:tcPr>
            <w:tcW w:w="105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253</w:t>
            </w:r>
          </w:p>
        </w:tc>
        <w:tc>
          <w:tcPr>
            <w:tcW w:w="85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31.6</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31.6</w:t>
            </w:r>
          </w:p>
        </w:tc>
        <w:tc>
          <w:tcPr>
            <w:tcW w:w="13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86.1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5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111</w:t>
            </w:r>
          </w:p>
        </w:tc>
        <w:tc>
          <w:tcPr>
            <w:tcW w:w="85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13.9</w:t>
            </w:r>
          </w:p>
        </w:tc>
        <w:tc>
          <w:tcPr>
            <w:tcW w:w="12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13.9</w:t>
            </w:r>
          </w:p>
        </w:tc>
        <w:tc>
          <w:tcPr>
            <w:tcW w:w="13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0"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5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85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98"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autoSpaceDE w:val="0"/>
        <w:autoSpaceDN w:val="0"/>
        <w:adjustRightInd w:val="0"/>
        <w:spacing w:line="300" w:lineRule="auto"/>
        <w:ind w:firstLine="480" w:firstLineChars="200"/>
        <w:rPr>
          <w:rFonts w:ascii="Times New Roman" w:hAnsi="Times New Roman" w:eastAsia="宋体" w:cs="Times New Roman"/>
          <w:kern w:val="0"/>
          <w:szCs w:val="21"/>
        </w:rPr>
      </w:pPr>
      <w:r>
        <w:rPr>
          <w:rFonts w:hint="eastAsia" w:ascii="Times New Roman" w:hAnsi="Times New Roman" w:eastAsia="宋体" w:cs="Times New Roman"/>
          <w:bCs/>
          <w:kern w:val="0"/>
          <w:szCs w:val="21"/>
        </w:rPr>
        <w:t>对于《办法》实施后的武汉市社会办养老福利机构管理部门守法程度和</w:t>
      </w:r>
      <w:r>
        <w:rPr>
          <w:rFonts w:hint="eastAsia" w:ascii="Times New Roman" w:hAnsi="Times New Roman" w:eastAsia="宋体" w:cs="Times New Roman"/>
          <w:kern w:val="0"/>
          <w:szCs w:val="21"/>
        </w:rPr>
        <w:t>相关从业人员守法程度，公众给予的评价较高。其中认为管理部门守法程度大大提高的人有</w:t>
      </w:r>
      <w:r>
        <w:rPr>
          <w:rFonts w:ascii="Times New Roman" w:hAnsi="Times New Roman" w:eastAsia="宋体" w:cs="Times New Roman"/>
          <w:kern w:val="0"/>
          <w:szCs w:val="21"/>
        </w:rPr>
        <w:t>73</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9.1%</w:t>
      </w:r>
      <w:r>
        <w:rPr>
          <w:rFonts w:hint="eastAsia" w:ascii="Times New Roman" w:hAnsi="Times New Roman" w:eastAsia="宋体" w:cs="Times New Roman"/>
          <w:szCs w:val="21"/>
        </w:rPr>
        <w:t>；认为有所提高的人有</w:t>
      </w:r>
      <w:r>
        <w:rPr>
          <w:rFonts w:ascii="Times New Roman" w:hAnsi="Times New Roman" w:eastAsia="宋体" w:cs="Times New Roman"/>
          <w:szCs w:val="21"/>
        </w:rPr>
        <w:t>406</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50.8%</w:t>
      </w:r>
      <w:r>
        <w:rPr>
          <w:rFonts w:hint="eastAsia" w:ascii="Times New Roman" w:hAnsi="Times New Roman" w:eastAsia="宋体" w:cs="Times New Roman"/>
          <w:szCs w:val="21"/>
        </w:rPr>
        <w:t>；认为变化不大的人有</w:t>
      </w:r>
      <w:r>
        <w:rPr>
          <w:rFonts w:ascii="Times New Roman" w:hAnsi="Times New Roman" w:eastAsia="宋体" w:cs="Times New Roman"/>
          <w:szCs w:val="21"/>
        </w:rPr>
        <w:t>197</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24.6%</w:t>
      </w:r>
      <w:r>
        <w:rPr>
          <w:rFonts w:hint="eastAsia" w:ascii="Times New Roman" w:hAnsi="Times New Roman" w:eastAsia="宋体" w:cs="Times New Roman"/>
          <w:szCs w:val="21"/>
        </w:rPr>
        <w:t>，不清楚的有</w:t>
      </w:r>
      <w:r>
        <w:rPr>
          <w:rFonts w:ascii="Times New Roman" w:hAnsi="Times New Roman" w:eastAsia="宋体" w:cs="Times New Roman"/>
          <w:szCs w:val="21"/>
        </w:rPr>
        <w:t>124</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15.5%</w:t>
      </w:r>
      <w:r>
        <w:rPr>
          <w:rFonts w:hint="eastAsia" w:ascii="Times New Roman" w:hAnsi="Times New Roman" w:eastAsia="宋体" w:cs="Times New Roman"/>
          <w:szCs w:val="21"/>
        </w:rPr>
        <w:t>，如下表所示。</w:t>
      </w:r>
    </w:p>
    <w:tbl>
      <w:tblPr>
        <w:tblStyle w:val="21"/>
        <w:tblW w:w="5790" w:type="dxa"/>
        <w:tblInd w:w="116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8"/>
        <w:gridCol w:w="1038"/>
        <w:gridCol w:w="1014"/>
        <w:gridCol w:w="1135"/>
        <w:gridCol w:w="1277"/>
        <w:gridCol w:w="127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790"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5.21 </w:t>
            </w:r>
            <w:r>
              <w:rPr>
                <w:rFonts w:hint="eastAsia" w:ascii="Times New Roman" w:hAnsi="Times New Roman" w:eastAsia="宋体" w:cs="Times New Roman"/>
                <w:bCs/>
                <w:kern w:val="0"/>
                <w:sz w:val="21"/>
                <w:szCs w:val="21"/>
              </w:rPr>
              <w:t>您认为《办法》实施后的武汉市社会办养老福利机构管理部门守法程度有何变化？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086"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14"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135"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7"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278"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8"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1038"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大大提高</w:t>
            </w:r>
          </w:p>
        </w:tc>
        <w:tc>
          <w:tcPr>
            <w:tcW w:w="101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73</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9.1</w:t>
            </w:r>
          </w:p>
        </w:tc>
        <w:tc>
          <w:tcPr>
            <w:tcW w:w="127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9.1</w:t>
            </w:r>
          </w:p>
        </w:tc>
        <w:tc>
          <w:tcPr>
            <w:tcW w:w="127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9.1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8"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有所提高</w:t>
            </w:r>
          </w:p>
        </w:tc>
        <w:tc>
          <w:tcPr>
            <w:tcW w:w="101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406</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50.8</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50.8</w:t>
            </w:r>
          </w:p>
        </w:tc>
        <w:tc>
          <w:tcPr>
            <w:tcW w:w="127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8"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变化不大</w:t>
            </w:r>
          </w:p>
        </w:tc>
        <w:tc>
          <w:tcPr>
            <w:tcW w:w="101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197</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24.6</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24.6</w:t>
            </w:r>
          </w:p>
        </w:tc>
        <w:tc>
          <w:tcPr>
            <w:tcW w:w="127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8"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1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124</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27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27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8"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38"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1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8"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kern w:val="0"/>
          <w:szCs w:val="21"/>
        </w:rPr>
        <w:t>其中认为相关从业人员守法程度大大提高的人有</w:t>
      </w:r>
      <w:r>
        <w:rPr>
          <w:rFonts w:ascii="Times New Roman" w:hAnsi="Times New Roman" w:eastAsia="宋体" w:cs="Times New Roman"/>
          <w:kern w:val="0"/>
          <w:szCs w:val="21"/>
        </w:rPr>
        <w:t>83</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10.4%</w:t>
      </w:r>
      <w:r>
        <w:rPr>
          <w:rFonts w:hint="eastAsia" w:ascii="Times New Roman" w:hAnsi="Times New Roman" w:eastAsia="宋体" w:cs="Times New Roman"/>
          <w:szCs w:val="21"/>
        </w:rPr>
        <w:t>；认为有所提高的人有</w:t>
      </w:r>
      <w:r>
        <w:rPr>
          <w:rFonts w:ascii="Times New Roman" w:hAnsi="Times New Roman" w:eastAsia="宋体" w:cs="Times New Roman"/>
          <w:szCs w:val="21"/>
        </w:rPr>
        <w:t>389</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48.6%</w:t>
      </w:r>
      <w:r>
        <w:rPr>
          <w:rFonts w:hint="eastAsia" w:ascii="Times New Roman" w:hAnsi="Times New Roman" w:eastAsia="宋体" w:cs="Times New Roman"/>
          <w:szCs w:val="21"/>
        </w:rPr>
        <w:t>；认为变化不大的人有</w:t>
      </w:r>
      <w:r>
        <w:rPr>
          <w:rFonts w:ascii="Times New Roman" w:hAnsi="Times New Roman" w:eastAsia="宋体" w:cs="Times New Roman"/>
          <w:szCs w:val="21"/>
        </w:rPr>
        <w:t>199</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24.9%</w:t>
      </w:r>
      <w:r>
        <w:rPr>
          <w:rFonts w:hint="eastAsia" w:ascii="Times New Roman" w:hAnsi="Times New Roman" w:eastAsia="宋体" w:cs="Times New Roman"/>
          <w:szCs w:val="21"/>
        </w:rPr>
        <w:t>，不清楚的有</w:t>
      </w:r>
      <w:r>
        <w:rPr>
          <w:rFonts w:ascii="Times New Roman" w:hAnsi="Times New Roman" w:eastAsia="宋体" w:cs="Times New Roman"/>
          <w:szCs w:val="21"/>
        </w:rPr>
        <w:t>129</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16.1%</w:t>
      </w:r>
      <w:r>
        <w:rPr>
          <w:rFonts w:hint="eastAsia" w:ascii="Times New Roman" w:hAnsi="Times New Roman" w:eastAsia="宋体" w:cs="Times New Roman"/>
          <w:szCs w:val="21"/>
        </w:rPr>
        <w:t>，如下表所示。</w:t>
      </w:r>
    </w:p>
    <w:tbl>
      <w:tblPr>
        <w:tblStyle w:val="21"/>
        <w:tblW w:w="6090" w:type="dxa"/>
        <w:tblInd w:w="85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053"/>
        <w:gridCol w:w="988"/>
        <w:gridCol w:w="991"/>
        <w:gridCol w:w="1316"/>
        <w:gridCol w:w="16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090"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5.22 </w:t>
            </w:r>
            <w:r>
              <w:rPr>
                <w:rFonts w:hint="eastAsia" w:ascii="Times New Roman" w:hAnsi="Times New Roman" w:eastAsia="宋体" w:cs="Times New Roman"/>
                <w:bCs/>
                <w:kern w:val="0"/>
                <w:sz w:val="21"/>
                <w:szCs w:val="21"/>
              </w:rPr>
              <w:t>您认为《办法》实施后的武汉市社会办养老福利机构相关从业人员守法程度有何变化？</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096"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988"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991"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316"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699"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p>
        </w:tc>
        <w:tc>
          <w:tcPr>
            <w:tcW w:w="1053"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大大提高</w:t>
            </w:r>
          </w:p>
        </w:tc>
        <w:tc>
          <w:tcPr>
            <w:tcW w:w="98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c>
          <w:tcPr>
            <w:tcW w:w="99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10.4</w:t>
            </w:r>
          </w:p>
        </w:tc>
        <w:tc>
          <w:tcPr>
            <w:tcW w:w="131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10.4</w:t>
            </w:r>
          </w:p>
        </w:tc>
        <w:tc>
          <w:tcPr>
            <w:tcW w:w="1699"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460" w:hRule="atLeas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5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有所提高</w:t>
            </w:r>
          </w:p>
        </w:tc>
        <w:tc>
          <w:tcPr>
            <w:tcW w:w="988"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389</w:t>
            </w:r>
          </w:p>
        </w:tc>
        <w:tc>
          <w:tcPr>
            <w:tcW w:w="991"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48.6</w:t>
            </w:r>
          </w:p>
        </w:tc>
        <w:tc>
          <w:tcPr>
            <w:tcW w:w="131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48.6</w:t>
            </w:r>
          </w:p>
        </w:tc>
        <w:tc>
          <w:tcPr>
            <w:tcW w:w="1699"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45" w:hRule="atLeas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5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变化不大</w:t>
            </w:r>
          </w:p>
        </w:tc>
        <w:tc>
          <w:tcPr>
            <w:tcW w:w="988"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199</w:t>
            </w:r>
          </w:p>
        </w:tc>
        <w:tc>
          <w:tcPr>
            <w:tcW w:w="991"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24.9</w:t>
            </w:r>
          </w:p>
        </w:tc>
        <w:tc>
          <w:tcPr>
            <w:tcW w:w="131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24.9</w:t>
            </w:r>
          </w:p>
        </w:tc>
        <w:tc>
          <w:tcPr>
            <w:tcW w:w="1699"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53" w:type="dxa"/>
            <w:tcBorders>
              <w:top w:val="nil"/>
              <w:left w:val="nil"/>
              <w:bottom w:val="single" w:color="auto" w:sz="6" w:space="0"/>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988" w:type="dxa"/>
            <w:tcBorders>
              <w:top w:val="nil"/>
              <w:left w:val="single" w:color="000000" w:sz="1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991" w:type="dxa"/>
            <w:tcBorders>
              <w:top w:val="nil"/>
              <w:left w:val="single" w:color="000000" w:sz="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16.1</w:t>
            </w:r>
          </w:p>
        </w:tc>
        <w:tc>
          <w:tcPr>
            <w:tcW w:w="1316" w:type="dxa"/>
            <w:tcBorders>
              <w:top w:val="nil"/>
              <w:left w:val="single" w:color="000000" w:sz="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16.1</w:t>
            </w:r>
          </w:p>
        </w:tc>
        <w:tc>
          <w:tcPr>
            <w:tcW w:w="1699" w:type="dxa"/>
            <w:tcBorders>
              <w:top w:val="nil"/>
              <w:left w:val="single" w:color="000000" w:sz="8" w:space="0"/>
              <w:bottom w:val="single" w:color="auto" w:sz="6" w:space="0"/>
              <w:right w:val="single" w:color="000000" w:sz="18" w:space="0"/>
            </w:tcBorders>
            <w:shd w:val="clear" w:color="auto" w:fill="FFFFFF"/>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53" w:type="dxa"/>
            <w:tcBorders>
              <w:top w:val="single" w:color="auto" w:sz="6" w:space="0"/>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988" w:type="dxa"/>
            <w:tcBorders>
              <w:top w:val="single" w:color="auto" w:sz="6" w:space="0"/>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991" w:type="dxa"/>
            <w:tcBorders>
              <w:top w:val="single" w:color="auto" w:sz="6" w:space="0"/>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16" w:type="dxa"/>
            <w:tcBorders>
              <w:top w:val="single" w:color="auto" w:sz="6" w:space="0"/>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699" w:type="dxa"/>
            <w:tcBorders>
              <w:top w:val="single" w:color="auto" w:sz="6" w:space="0"/>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autoSpaceDE w:val="0"/>
        <w:autoSpaceDN w:val="0"/>
        <w:adjustRightInd w:val="0"/>
        <w:spacing w:line="300" w:lineRule="auto"/>
        <w:ind w:firstLine="480" w:firstLineChars="200"/>
        <w:rPr>
          <w:rFonts w:ascii="Times New Roman" w:hAnsi="Times New Roman" w:eastAsia="宋体" w:cs="Times New Roman"/>
          <w:kern w:val="0"/>
          <w:szCs w:val="21"/>
        </w:rPr>
      </w:pPr>
      <w:r>
        <w:rPr>
          <w:rFonts w:hint="eastAsia" w:ascii="Times New Roman" w:hAnsi="Times New Roman" w:eastAsia="宋体" w:cs="Times New Roman"/>
          <w:kern w:val="0"/>
          <w:szCs w:val="21"/>
        </w:rPr>
        <w:t>执法作为《办法》实施中关键的一环，其具有相当重要的作用。结合调研情况而言，武汉市公众对于武汉市社会办养老福利机构监管部门及其执法人员的执法满意度尚可，从执法情况到执法方式，公众对于执法人员认可度不够，是否存在执法效率不强的问题仍亟待考量。对于公众对</w:t>
      </w:r>
      <w:r>
        <w:rPr>
          <w:rFonts w:hint="eastAsia" w:ascii="Times New Roman" w:hAnsi="Times New Roman" w:eastAsia="宋体" w:cs="Times New Roman"/>
          <w:bCs/>
          <w:kern w:val="0"/>
          <w:szCs w:val="21"/>
        </w:rPr>
        <w:t>武汉市社会办养老福利机构监管部门及其执法人员的执法情况而言，</w:t>
      </w:r>
      <w:r>
        <w:rPr>
          <w:rFonts w:hint="eastAsia" w:ascii="Times New Roman" w:hAnsi="Times New Roman" w:eastAsia="宋体" w:cs="Times New Roman"/>
          <w:kern w:val="0"/>
          <w:szCs w:val="21"/>
        </w:rPr>
        <w:t>其中非常满意的人有</w:t>
      </w:r>
      <w:r>
        <w:rPr>
          <w:rFonts w:ascii="Times New Roman" w:hAnsi="Times New Roman" w:eastAsia="宋体" w:cs="Times New Roman"/>
          <w:kern w:val="0"/>
          <w:szCs w:val="21"/>
        </w:rPr>
        <w:t>66</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8.3%</w:t>
      </w:r>
      <w:r>
        <w:rPr>
          <w:rFonts w:hint="eastAsia" w:ascii="Times New Roman" w:hAnsi="Times New Roman" w:eastAsia="宋体" w:cs="Times New Roman"/>
          <w:szCs w:val="21"/>
        </w:rPr>
        <w:t>，满意的人有</w:t>
      </w:r>
      <w:r>
        <w:rPr>
          <w:rFonts w:ascii="Times New Roman" w:hAnsi="Times New Roman" w:eastAsia="宋体" w:cs="Times New Roman"/>
          <w:szCs w:val="21"/>
        </w:rPr>
        <w:t>331</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41.4%</w:t>
      </w:r>
      <w:r>
        <w:rPr>
          <w:rFonts w:hint="eastAsia" w:ascii="Times New Roman" w:hAnsi="Times New Roman" w:eastAsia="宋体" w:cs="Times New Roman"/>
          <w:szCs w:val="21"/>
        </w:rPr>
        <w:t>，不满意的人有</w:t>
      </w:r>
      <w:r>
        <w:rPr>
          <w:rFonts w:ascii="Times New Roman" w:hAnsi="Times New Roman" w:eastAsia="宋体" w:cs="Times New Roman"/>
          <w:szCs w:val="21"/>
        </w:rPr>
        <w:t>192</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24.0%</w:t>
      </w:r>
      <w:r>
        <w:rPr>
          <w:rFonts w:hint="eastAsia" w:ascii="Times New Roman" w:hAnsi="Times New Roman" w:eastAsia="宋体" w:cs="Times New Roman"/>
          <w:szCs w:val="21"/>
        </w:rPr>
        <w:t>，不清楚的有</w:t>
      </w:r>
      <w:r>
        <w:rPr>
          <w:rFonts w:ascii="Times New Roman" w:hAnsi="Times New Roman" w:eastAsia="宋体" w:cs="Times New Roman"/>
          <w:szCs w:val="21"/>
        </w:rPr>
        <w:t>211</w:t>
      </w:r>
      <w:r>
        <w:rPr>
          <w:rFonts w:hint="eastAsia" w:ascii="Times New Roman" w:hAnsi="Times New Roman" w:eastAsia="宋体" w:cs="Times New Roman"/>
          <w:szCs w:val="21"/>
        </w:rPr>
        <w:t>占总样本人数的</w:t>
      </w:r>
      <w:r>
        <w:rPr>
          <w:rFonts w:ascii="Times New Roman" w:hAnsi="Times New Roman" w:eastAsia="宋体" w:cs="Times New Roman"/>
          <w:szCs w:val="21"/>
        </w:rPr>
        <w:t>26.4%</w:t>
      </w:r>
      <w:r>
        <w:rPr>
          <w:rFonts w:hint="eastAsia" w:ascii="Times New Roman" w:hAnsi="Times New Roman" w:eastAsia="宋体" w:cs="Times New Roman"/>
          <w:szCs w:val="21"/>
        </w:rPr>
        <w:t>，如下表所示。</w:t>
      </w:r>
    </w:p>
    <w:tbl>
      <w:tblPr>
        <w:tblStyle w:val="21"/>
        <w:tblW w:w="6030" w:type="dxa"/>
        <w:tblInd w:w="854"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027"/>
        <w:gridCol w:w="1056"/>
        <w:gridCol w:w="985"/>
        <w:gridCol w:w="1244"/>
        <w:gridCol w:w="167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030"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5.23 </w:t>
            </w:r>
            <w:r>
              <w:rPr>
                <w:rFonts w:hint="eastAsia" w:ascii="Times New Roman" w:hAnsi="Times New Roman" w:eastAsia="宋体" w:cs="Times New Roman"/>
                <w:bCs/>
                <w:kern w:val="0"/>
                <w:sz w:val="21"/>
                <w:szCs w:val="21"/>
              </w:rPr>
              <w:t>您对武汉市社会办养老福利机构监管部门及其执法人员的执法情况是否满意？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070"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56"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985"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4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675"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1027"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非常满意</w:t>
            </w:r>
          </w:p>
        </w:tc>
        <w:tc>
          <w:tcPr>
            <w:tcW w:w="105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66</w:t>
            </w:r>
          </w:p>
        </w:tc>
        <w:tc>
          <w:tcPr>
            <w:tcW w:w="98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c>
          <w:tcPr>
            <w:tcW w:w="124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c>
          <w:tcPr>
            <w:tcW w:w="1675"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2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满意</w:t>
            </w:r>
          </w:p>
        </w:tc>
        <w:tc>
          <w:tcPr>
            <w:tcW w:w="105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331</w:t>
            </w:r>
          </w:p>
        </w:tc>
        <w:tc>
          <w:tcPr>
            <w:tcW w:w="98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41.4</w:t>
            </w:r>
          </w:p>
        </w:tc>
        <w:tc>
          <w:tcPr>
            <w:tcW w:w="124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41.4</w:t>
            </w:r>
          </w:p>
        </w:tc>
        <w:tc>
          <w:tcPr>
            <w:tcW w:w="167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2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不满意</w:t>
            </w:r>
          </w:p>
        </w:tc>
        <w:tc>
          <w:tcPr>
            <w:tcW w:w="105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192</w:t>
            </w:r>
          </w:p>
        </w:tc>
        <w:tc>
          <w:tcPr>
            <w:tcW w:w="98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w:t>
            </w:r>
          </w:p>
        </w:tc>
        <w:tc>
          <w:tcPr>
            <w:tcW w:w="124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w:t>
            </w:r>
          </w:p>
        </w:tc>
        <w:tc>
          <w:tcPr>
            <w:tcW w:w="167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2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5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98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26.4</w:t>
            </w:r>
          </w:p>
        </w:tc>
        <w:tc>
          <w:tcPr>
            <w:tcW w:w="124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26.4</w:t>
            </w:r>
          </w:p>
        </w:tc>
        <w:tc>
          <w:tcPr>
            <w:tcW w:w="167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027"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5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98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4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675"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jc w:val="center"/>
        <w:rPr>
          <w:rFonts w:ascii="Times New Roman" w:hAnsi="Times New Roman" w:eastAsia="宋体" w:cs="Times New Roman"/>
          <w:sz w:val="21"/>
          <w:szCs w:val="21"/>
        </w:rPr>
      </w:pPr>
    </w:p>
    <w:p>
      <w:pPr>
        <w:autoSpaceDE w:val="0"/>
        <w:autoSpaceDN w:val="0"/>
        <w:adjustRightInd w:val="0"/>
        <w:spacing w:line="300" w:lineRule="auto"/>
        <w:ind w:firstLine="480" w:firstLineChars="200"/>
        <w:rPr>
          <w:rFonts w:ascii="Times New Roman" w:hAnsi="Times New Roman" w:eastAsia="宋体" w:cs="Times New Roman"/>
          <w:szCs w:val="21"/>
        </w:rPr>
      </w:pPr>
      <w:bookmarkStart w:id="16" w:name="_Hlk516218772"/>
      <w:r>
        <w:rPr>
          <w:rFonts w:hint="eastAsia" w:ascii="Times New Roman" w:hAnsi="Times New Roman" w:eastAsia="宋体" w:cs="Times New Roman"/>
          <w:kern w:val="0"/>
          <w:szCs w:val="21"/>
        </w:rPr>
        <w:t>对于社会办养老福利机构监管部门及其执法人员</w:t>
      </w:r>
      <w:bookmarkEnd w:id="16"/>
      <w:r>
        <w:rPr>
          <w:rFonts w:hint="eastAsia" w:ascii="Times New Roman" w:hAnsi="Times New Roman" w:eastAsia="宋体" w:cs="Times New Roman"/>
          <w:kern w:val="0"/>
          <w:szCs w:val="21"/>
        </w:rPr>
        <w:t>的执法检查方式是否合理的问题，据调查统计，其中认为合理的人有</w:t>
      </w:r>
      <w:r>
        <w:rPr>
          <w:rFonts w:ascii="Times New Roman" w:hAnsi="Times New Roman" w:eastAsia="宋体" w:cs="Times New Roman"/>
          <w:kern w:val="0"/>
          <w:szCs w:val="21"/>
        </w:rPr>
        <w:t>226</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28.3%</w:t>
      </w:r>
      <w:r>
        <w:rPr>
          <w:rFonts w:hint="eastAsia" w:ascii="Times New Roman" w:hAnsi="Times New Roman" w:eastAsia="宋体" w:cs="Times New Roman"/>
          <w:szCs w:val="21"/>
        </w:rPr>
        <w:t>；认为不够合理的人有</w:t>
      </w:r>
      <w:r>
        <w:rPr>
          <w:rFonts w:ascii="Times New Roman" w:hAnsi="Times New Roman" w:eastAsia="宋体" w:cs="Times New Roman"/>
          <w:szCs w:val="21"/>
        </w:rPr>
        <w:t>214</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26.8%</w:t>
      </w:r>
      <w:r>
        <w:rPr>
          <w:rFonts w:hint="eastAsia" w:ascii="Times New Roman" w:hAnsi="Times New Roman" w:eastAsia="宋体" w:cs="Times New Roman"/>
          <w:szCs w:val="21"/>
        </w:rPr>
        <w:t>；认为不合理的人有</w:t>
      </w:r>
      <w:r>
        <w:rPr>
          <w:rFonts w:ascii="Times New Roman" w:hAnsi="Times New Roman" w:eastAsia="宋体" w:cs="Times New Roman"/>
          <w:szCs w:val="21"/>
        </w:rPr>
        <w:t>103</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12.9%</w:t>
      </w:r>
      <w:r>
        <w:rPr>
          <w:rFonts w:hint="eastAsia" w:ascii="Times New Roman" w:hAnsi="Times New Roman" w:eastAsia="宋体" w:cs="Times New Roman"/>
          <w:szCs w:val="21"/>
        </w:rPr>
        <w:t>，不清楚的有</w:t>
      </w:r>
      <w:r>
        <w:rPr>
          <w:rFonts w:ascii="Times New Roman" w:hAnsi="Times New Roman" w:eastAsia="宋体" w:cs="Times New Roman"/>
          <w:szCs w:val="21"/>
        </w:rPr>
        <w:t>257</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32.1%</w:t>
      </w:r>
      <w:r>
        <w:rPr>
          <w:rFonts w:hint="eastAsia" w:ascii="Times New Roman" w:hAnsi="Times New Roman" w:eastAsia="宋体" w:cs="Times New Roman"/>
          <w:szCs w:val="21"/>
        </w:rPr>
        <w:t>，如下表所示。</w:t>
      </w:r>
    </w:p>
    <w:tbl>
      <w:tblPr>
        <w:tblStyle w:val="21"/>
        <w:tblW w:w="6135" w:type="dxa"/>
        <w:tblInd w:w="107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
        <w:gridCol w:w="1112"/>
        <w:gridCol w:w="1005"/>
        <w:gridCol w:w="1002"/>
        <w:gridCol w:w="1274"/>
        <w:gridCol w:w="169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135"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5.24</w:t>
            </w:r>
            <w:r>
              <w:rPr>
                <w:rFonts w:hint="eastAsia" w:ascii="Times New Roman" w:hAnsi="Times New Roman" w:eastAsia="宋体" w:cs="Times New Roman"/>
                <w:bCs/>
                <w:kern w:val="0"/>
                <w:sz w:val="21"/>
                <w:szCs w:val="21"/>
              </w:rPr>
              <w:t>您认为社会办养老福利机构监管部门及其执法人员在进行执法检查时，检查方式是否合理？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56"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005"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002"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698"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p>
        </w:tc>
        <w:tc>
          <w:tcPr>
            <w:tcW w:w="1112"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合理</w:t>
            </w:r>
          </w:p>
        </w:tc>
        <w:tc>
          <w:tcPr>
            <w:tcW w:w="1005"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226</w:t>
            </w:r>
          </w:p>
        </w:tc>
        <w:tc>
          <w:tcPr>
            <w:tcW w:w="100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28.3</w:t>
            </w:r>
          </w:p>
        </w:tc>
        <w:tc>
          <w:tcPr>
            <w:tcW w:w="127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28.3</w:t>
            </w:r>
          </w:p>
        </w:tc>
        <w:tc>
          <w:tcPr>
            <w:tcW w:w="169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1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不够合理</w:t>
            </w:r>
          </w:p>
        </w:tc>
        <w:tc>
          <w:tcPr>
            <w:tcW w:w="100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00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26.8</w:t>
            </w:r>
          </w:p>
        </w:tc>
        <w:tc>
          <w:tcPr>
            <w:tcW w:w="12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26.8</w:t>
            </w:r>
          </w:p>
        </w:tc>
        <w:tc>
          <w:tcPr>
            <w:tcW w:w="16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1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不合理</w:t>
            </w:r>
          </w:p>
        </w:tc>
        <w:tc>
          <w:tcPr>
            <w:tcW w:w="100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00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2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6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67.9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1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0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257</w:t>
            </w:r>
          </w:p>
        </w:tc>
        <w:tc>
          <w:tcPr>
            <w:tcW w:w="100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32.1</w:t>
            </w:r>
          </w:p>
        </w:tc>
        <w:tc>
          <w:tcPr>
            <w:tcW w:w="12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32.1</w:t>
            </w:r>
          </w:p>
        </w:tc>
        <w:tc>
          <w:tcPr>
            <w:tcW w:w="169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12"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05"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00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698"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jc w:val="center"/>
        <w:rPr>
          <w:rFonts w:ascii="Times New Roman" w:hAnsi="Times New Roman" w:eastAsia="宋体" w:cs="Times New Roman"/>
          <w:sz w:val="21"/>
          <w:szCs w:val="21"/>
        </w:rPr>
      </w:pPr>
    </w:p>
    <w:p>
      <w:pPr>
        <w:spacing w:line="300" w:lineRule="auto"/>
        <w:ind w:firstLine="480" w:firstLineChars="200"/>
      </w:pPr>
      <w:r>
        <w:rPr>
          <w:rFonts w:hint="eastAsia"/>
        </w:rPr>
        <w:t>从整体来看，公众对于《办法》的执行情况认可程度偏高，除了在对机构监管部门及其执法人员的执法情况及执法检查情况的认可程度没有超过</w:t>
      </w:r>
      <w:r>
        <w:t>50%</w:t>
      </w:r>
      <w:r>
        <w:rPr>
          <w:rFonts w:hint="eastAsia"/>
        </w:rPr>
        <w:t>，在其他方面的认可程度都超过了</w:t>
      </w:r>
      <w:r>
        <w:t>50%</w:t>
      </w:r>
      <w:r>
        <w:rPr>
          <w:rFonts w:hint="eastAsia"/>
        </w:rPr>
        <w:t>，其中对武汉市社会办养老福利机构管理状况的变化认可程度最高，在接受的样本中有</w:t>
      </w:r>
      <w:r>
        <w:t>64.8%</w:t>
      </w:r>
      <w:r>
        <w:rPr>
          <w:rFonts w:hint="eastAsia"/>
        </w:rPr>
        <w:t>的样本都认为有所好转甚至明显好转。另一方面从图中也反映出了另一个问题，即公众对于该办法的执行情况大部分都处于基本认可和满意的状态，给出明确认可答案的样本占比较小，这说明《办法》的实施执行情况基本合格，但仍具有较大的改进空间，其中社会办养老福利机构监管部门及其执法人员在进行执法检查方面的执行情况公众认为合理的仅占总体的</w:t>
      </w:r>
      <w:r>
        <w:t>28.3%</w:t>
      </w:r>
      <w:r>
        <w:rPr>
          <w:rFonts w:hint="eastAsia"/>
        </w:rPr>
        <w:t>，同时机构监管部门及其执法人员的执法情况也不足</w:t>
      </w:r>
      <w:r>
        <w:t>50%</w:t>
      </w:r>
      <w:r>
        <w:rPr>
          <w:rFonts w:hint="eastAsia"/>
        </w:rPr>
        <w:t>，说明新的办法在社会办养老福利机构的执法及检查方面的执行工作不够理想，存在一些问题。</w:t>
      </w:r>
    </w:p>
    <w:p>
      <w:pPr>
        <w:spacing w:line="300" w:lineRule="auto"/>
        <w:ind w:firstLine="480" w:firstLineChars="200"/>
      </w:pPr>
      <w:r>
        <w:rPr>
          <w:rFonts w:hint="eastAsia"/>
        </w:rPr>
        <w:t>第二，差异化分析</w:t>
      </w:r>
    </w:p>
    <w:p>
      <w:pPr>
        <w:spacing w:line="300" w:lineRule="auto"/>
        <w:ind w:firstLine="480" w:firstLineChars="200"/>
      </w:pPr>
      <w:r>
        <w:fldChar w:fldCharType="begin"/>
      </w:r>
      <w:r>
        <w:instrText xml:space="preserve"> = 1 \* GB3 </w:instrText>
      </w:r>
      <w:r>
        <w:fldChar w:fldCharType="separate"/>
      </w:r>
      <w:r>
        <w:rPr>
          <w:rFonts w:hint="eastAsia"/>
        </w:rPr>
        <w:t>①</w:t>
      </w:r>
      <w:r>
        <w:rPr>
          <w:rFonts w:hint="eastAsia"/>
        </w:rPr>
        <w:fldChar w:fldCharType="end"/>
      </w:r>
      <w:r>
        <w:rPr>
          <w:rFonts w:hint="eastAsia"/>
        </w:rPr>
        <w:t>年龄分析：</w:t>
      </w:r>
    </w:p>
    <w:p>
      <w:pPr>
        <w:autoSpaceDE w:val="0"/>
        <w:autoSpaceDN w:val="0"/>
        <w:adjustRightInd w:val="0"/>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5.25 </w:t>
      </w:r>
      <w:r>
        <w:rPr>
          <w:rFonts w:hint="eastAsia" w:ascii="Times New Roman" w:hAnsi="Times New Roman" w:eastAsia="宋体" w:cs="Times New Roman"/>
          <w:sz w:val="21"/>
          <w:szCs w:val="21"/>
        </w:rPr>
        <w:t>社会办养老福利机构管理状况</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《武汉市社会办养老福利机构管理办法》实施后，您认为武汉市社会办养老福利机构管理状况有何变化？</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明显好转</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有所好转</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没有好转</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33.3%</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30.3%</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49.4%</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40.2%</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50.0%</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29.1%</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22.1%</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13.9%</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7.6%</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5.26 </w:t>
      </w:r>
      <w:r>
        <w:rPr>
          <w:rFonts w:hint="eastAsia" w:ascii="Times New Roman" w:hAnsi="Times New Roman" w:eastAsia="宋体" w:cs="Times New Roman"/>
          <w:sz w:val="21"/>
          <w:szCs w:val="21"/>
        </w:rPr>
        <w:t>立法目的实现情况</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规范社会办养老福利机构管理，维护社会办养老福利机构及其老年人的合法权益，促进社会养老福利事业发展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的立法目的是否实现？</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实现</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基本实现</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没有实现</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32.9%</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23.7%</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46.1%</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40.0%</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46.2%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32.5%</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16.5%</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21.9%</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19.4%</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15.6%</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10.6%</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5.8%</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autoSpaceDE w:val="0"/>
        <w:autoSpaceDN w:val="0"/>
        <w:adjustRightInd w:val="0"/>
        <w:spacing w:line="300" w:lineRule="auto"/>
        <w:jc w:val="center"/>
        <w:rPr>
          <w:rFonts w:ascii="Times New Roman" w:hAnsi="Times New Roman" w:eastAsia="宋体" w:cs="Times New Roman"/>
          <w:sz w:val="21"/>
          <w:szCs w:val="21"/>
        </w:rPr>
      </w:pPr>
    </w:p>
    <w:p>
      <w:pPr>
        <w:widowControl/>
        <w:jc w:val="left"/>
        <w:rPr>
          <w:rFonts w:ascii="Times New Roman" w:hAnsi="Times New Roman" w:eastAsia="宋体" w:cs="Times New Roman"/>
          <w:sz w:val="21"/>
          <w:szCs w:val="21"/>
        </w:rPr>
      </w:pPr>
    </w:p>
    <w:p>
      <w:pPr>
        <w:autoSpaceDE w:val="0"/>
        <w:autoSpaceDN w:val="0"/>
        <w:adjustRightInd w:val="0"/>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5.27 </w:t>
      </w:r>
      <w:r>
        <w:rPr>
          <w:rFonts w:hint="eastAsia" w:ascii="Times New Roman" w:hAnsi="Times New Roman" w:eastAsia="宋体" w:cs="Times New Roman"/>
          <w:sz w:val="21"/>
          <w:szCs w:val="21"/>
        </w:rPr>
        <w:t>意识作用提高情况</w:t>
      </w:r>
      <w:r>
        <w:rPr>
          <w:rFonts w:ascii="Times New Roman" w:hAnsi="Times New Roman" w:eastAsia="宋体" w:cs="Times New Roman"/>
          <w:sz w:val="21"/>
          <w:szCs w:val="21"/>
        </w:rPr>
        <w:tab/>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您认为《武汉市社会办养老福利机构管理办法》对提高人们对社会办养老福利机构的意识作用如何？</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作用很大</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作用较大</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作用一般</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32.2%</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27.7%</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51.4%</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43.3%</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36.4%</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30.6%</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16.3%</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11.7%</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11.5%</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9.9%</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6.3%</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283" w:firstLineChars="135"/>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5.28 </w:t>
      </w:r>
      <w:r>
        <w:rPr>
          <w:rFonts w:hint="eastAsia" w:ascii="Times New Roman" w:hAnsi="Times New Roman" w:eastAsia="宋体" w:cs="Times New Roman"/>
          <w:sz w:val="21"/>
          <w:szCs w:val="21"/>
        </w:rPr>
        <w:t>管理部门守法程度</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您认为《武汉市社会办养老福利机构管理办法》实施后的武汉市社会办养老福利机构管理部门守法程度有何变化？</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大大提高</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有所提高</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变化不大</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27.4%</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34.5%</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20.3%</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45.2%</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29.8%</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16.4%</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24.4%</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14.5%</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11.0%</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20"/>
        <w:jc w:val="center"/>
        <w:rPr>
          <w:rFonts w:ascii="Times New Roman" w:hAnsi="Times New Roman" w:eastAsia="宋体" w:cs="Times New Roman"/>
          <w:sz w:val="21"/>
          <w:szCs w:val="21"/>
        </w:rPr>
      </w:pPr>
    </w:p>
    <w:p>
      <w:pPr>
        <w:spacing w:line="300" w:lineRule="auto"/>
        <w:ind w:firstLine="42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5.29 </w:t>
      </w:r>
      <w:r>
        <w:rPr>
          <w:rFonts w:hint="eastAsia" w:ascii="Times New Roman" w:hAnsi="Times New Roman" w:eastAsia="宋体" w:cs="Times New Roman"/>
          <w:sz w:val="21"/>
          <w:szCs w:val="21"/>
        </w:rPr>
        <w:t>相关从业人员守法程度</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您认为《武汉市社会办养老福利机构管理办法》实施后的武汉市社会办养老福利机构相关从业人员守法程度有何变化？</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大大提高</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有所提高</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变化不大</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30.1%</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20.6%</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46.5%</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39.8%</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35.7%</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21.7%</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22.6%</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8.4%</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widowControl/>
        <w:jc w:val="left"/>
        <w:rPr>
          <w:rFonts w:ascii="Times New Roman" w:hAnsi="Times New Roman" w:eastAsia="宋体" w:cs="Times New Roman"/>
          <w:sz w:val="21"/>
          <w:szCs w:val="21"/>
        </w:rPr>
      </w:pPr>
    </w:p>
    <w:p>
      <w:pPr>
        <w:autoSpaceDE w:val="0"/>
        <w:autoSpaceDN w:val="0"/>
        <w:adjustRightInd w:val="0"/>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5.30 </w:t>
      </w:r>
      <w:r>
        <w:rPr>
          <w:rFonts w:hint="eastAsia" w:ascii="Times New Roman" w:hAnsi="Times New Roman" w:eastAsia="宋体" w:cs="Times New Roman"/>
          <w:sz w:val="21"/>
          <w:szCs w:val="21"/>
        </w:rPr>
        <w:t>监管部门及执法人员执法情况</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您对武汉市社会办养老福利机构监管部门及其执法人员的执法情况是否满意？</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非常满意</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满意</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不满意</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42.4%</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36.3%</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16.1%</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25.8%</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52.1%</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18.2%</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18.0%</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15.2%</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8.8%</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13.5%</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6.2%</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autoSpaceDE w:val="0"/>
        <w:autoSpaceDN w:val="0"/>
        <w:adjustRightInd w:val="0"/>
        <w:spacing w:line="300" w:lineRule="auto"/>
        <w:jc w:val="center"/>
        <w:rPr>
          <w:rFonts w:ascii="Times New Roman" w:hAnsi="Times New Roman" w:eastAsia="宋体" w:cs="Times New Roman"/>
          <w:sz w:val="21"/>
          <w:szCs w:val="21"/>
        </w:rPr>
      </w:pPr>
    </w:p>
    <w:p>
      <w:pPr>
        <w:autoSpaceDE w:val="0"/>
        <w:autoSpaceDN w:val="0"/>
        <w:adjustRightInd w:val="0"/>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5.31 </w:t>
      </w:r>
      <w:r>
        <w:rPr>
          <w:rFonts w:hint="eastAsia" w:ascii="Times New Roman" w:hAnsi="Times New Roman" w:eastAsia="宋体" w:cs="Times New Roman"/>
          <w:sz w:val="21"/>
          <w:szCs w:val="21"/>
        </w:rPr>
        <w:t>监管部门及执法人员执法检查方式合理情况</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8"/>
        <w:gridCol w:w="1466"/>
        <w:gridCol w:w="1468"/>
        <w:gridCol w:w="1468"/>
        <w:gridCol w:w="10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87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您认为社会办养老福利机构监管部门及其执法人员在进行执法检查时，检查方式是否合理？</w:t>
            </w:r>
          </w:p>
        </w:tc>
        <w:tc>
          <w:tcPr>
            <w:tcW w:w="101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合理</w:t>
            </w:r>
          </w:p>
        </w:tc>
        <w:tc>
          <w:tcPr>
            <w:tcW w:w="146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不够合理</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不合理</w:t>
            </w:r>
          </w:p>
        </w:tc>
        <w:tc>
          <w:tcPr>
            <w:tcW w:w="146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28.3%</w:t>
            </w:r>
          </w:p>
        </w:tc>
        <w:tc>
          <w:tcPr>
            <w:tcW w:w="146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39.3%</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46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38.9%</w:t>
            </w:r>
          </w:p>
        </w:tc>
        <w:tc>
          <w:tcPr>
            <w:tcW w:w="10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39.4%</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33.6%</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47.6%</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35.8%</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20.8%</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18.7%</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22.3%</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17.9%</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8"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11.5%</w:t>
            </w:r>
          </w:p>
        </w:tc>
        <w:tc>
          <w:tcPr>
            <w:tcW w:w="146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8.4%</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146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7.4%</w:t>
            </w:r>
          </w:p>
        </w:tc>
        <w:tc>
          <w:tcPr>
            <w:tcW w:w="10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结合数据分析，在</w:t>
      </w:r>
      <w:r>
        <w:rPr>
          <w:rFonts w:ascii="Times New Roman" w:hAnsi="Times New Roman" w:eastAsia="宋体" w:cs="Times New Roman"/>
          <w:szCs w:val="21"/>
        </w:rPr>
        <w:t>18</w:t>
      </w:r>
      <w:r>
        <w:rPr>
          <w:rFonts w:hint="eastAsia" w:ascii="Times New Roman" w:hAnsi="Times New Roman" w:eastAsia="宋体" w:cs="Times New Roman"/>
          <w:szCs w:val="21"/>
        </w:rPr>
        <w:t>岁至</w:t>
      </w:r>
      <w:r>
        <w:rPr>
          <w:rFonts w:ascii="Times New Roman" w:hAnsi="Times New Roman" w:eastAsia="宋体" w:cs="Times New Roman"/>
          <w:szCs w:val="21"/>
        </w:rPr>
        <w:t>30</w:t>
      </w:r>
      <w:r>
        <w:rPr>
          <w:rFonts w:hint="eastAsia" w:ascii="Times New Roman" w:hAnsi="Times New Roman" w:eastAsia="宋体" w:cs="Times New Roman"/>
          <w:szCs w:val="21"/>
        </w:rPr>
        <w:t>岁这个年龄阶段的公众对监管部门及执法人员执法情况以及检查情况这两方面的认可程度较低；在</w:t>
      </w:r>
      <w:r>
        <w:rPr>
          <w:rFonts w:ascii="Times New Roman" w:hAnsi="Times New Roman" w:eastAsia="宋体" w:cs="Times New Roman"/>
          <w:szCs w:val="21"/>
        </w:rPr>
        <w:t>31</w:t>
      </w:r>
      <w:r>
        <w:rPr>
          <w:rFonts w:hint="eastAsia" w:ascii="Times New Roman" w:hAnsi="Times New Roman" w:eastAsia="宋体" w:cs="Times New Roman"/>
          <w:szCs w:val="21"/>
        </w:rPr>
        <w:t>岁至</w:t>
      </w:r>
      <w:r>
        <w:rPr>
          <w:rFonts w:ascii="Times New Roman" w:hAnsi="Times New Roman" w:eastAsia="宋体" w:cs="Times New Roman"/>
          <w:szCs w:val="21"/>
        </w:rPr>
        <w:t>50</w:t>
      </w:r>
      <w:r>
        <w:rPr>
          <w:rFonts w:hint="eastAsia" w:ascii="Times New Roman" w:hAnsi="Times New Roman" w:eastAsia="宋体" w:cs="Times New Roman"/>
          <w:szCs w:val="21"/>
        </w:rPr>
        <w:t>岁这个年龄阶段的公众对立法目的实现情况和监管部门及执法人员执法情况以及检查情况这三方面的执行实施认可程度较低；在</w:t>
      </w:r>
      <w:r>
        <w:rPr>
          <w:rFonts w:ascii="Times New Roman" w:hAnsi="Times New Roman" w:eastAsia="宋体" w:cs="Times New Roman"/>
          <w:szCs w:val="21"/>
        </w:rPr>
        <w:t>51</w:t>
      </w:r>
      <w:r>
        <w:rPr>
          <w:rFonts w:hint="eastAsia" w:ascii="Times New Roman" w:hAnsi="Times New Roman" w:eastAsia="宋体" w:cs="Times New Roman"/>
          <w:szCs w:val="21"/>
        </w:rPr>
        <w:t>岁至</w:t>
      </w:r>
      <w:r>
        <w:rPr>
          <w:rFonts w:ascii="Times New Roman" w:hAnsi="Times New Roman" w:eastAsia="宋体" w:cs="Times New Roman"/>
          <w:szCs w:val="21"/>
        </w:rPr>
        <w:t>60</w:t>
      </w:r>
      <w:r>
        <w:rPr>
          <w:rFonts w:hint="eastAsia" w:ascii="Times New Roman" w:hAnsi="Times New Roman" w:eastAsia="宋体" w:cs="Times New Roman"/>
          <w:szCs w:val="21"/>
        </w:rPr>
        <w:t>岁这个年龄阶段的公众对该办法的执行实施情况认可程度普遍要高于其他年龄阶段的公众；在</w:t>
      </w:r>
      <w:r>
        <w:rPr>
          <w:rFonts w:ascii="Times New Roman" w:hAnsi="Times New Roman" w:eastAsia="宋体" w:cs="Times New Roman"/>
          <w:szCs w:val="21"/>
        </w:rPr>
        <w:t>61</w:t>
      </w:r>
      <w:r>
        <w:rPr>
          <w:rFonts w:hint="eastAsia" w:ascii="Times New Roman" w:hAnsi="Times New Roman" w:eastAsia="宋体" w:cs="Times New Roman"/>
          <w:szCs w:val="21"/>
        </w:rPr>
        <w:t>岁以上这个年龄阶段对监管部门及执法人员检查情况的认可程度较低。</w:t>
      </w: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综上，从年龄的角度分析，该办法执行情况在</w:t>
      </w:r>
      <w:r>
        <w:rPr>
          <w:rFonts w:ascii="Times New Roman" w:hAnsi="Times New Roman" w:eastAsia="宋体" w:cs="Times New Roman"/>
          <w:szCs w:val="21"/>
        </w:rPr>
        <w:t>51</w:t>
      </w:r>
      <w:r>
        <w:rPr>
          <w:rFonts w:hint="eastAsia" w:ascii="Times New Roman" w:hAnsi="Times New Roman" w:eastAsia="宋体" w:cs="Times New Roman"/>
          <w:szCs w:val="21"/>
        </w:rPr>
        <w:t>岁至</w:t>
      </w:r>
      <w:r>
        <w:rPr>
          <w:rFonts w:ascii="Times New Roman" w:hAnsi="Times New Roman" w:eastAsia="宋体" w:cs="Times New Roman"/>
          <w:szCs w:val="21"/>
        </w:rPr>
        <w:t>60</w:t>
      </w:r>
      <w:r>
        <w:rPr>
          <w:rFonts w:hint="eastAsia" w:ascii="Times New Roman" w:hAnsi="Times New Roman" w:eastAsia="宋体" w:cs="Times New Roman"/>
          <w:szCs w:val="21"/>
        </w:rPr>
        <w:t>岁这个年龄阶段的公众看来认可度较高，执行情况较为满意，此外，所有的年龄阶层对于监管部门及执法人员在执法检查时的情况认为存在不合理的情况较多。</w:t>
      </w:r>
    </w:p>
    <w:p>
      <w:pPr>
        <w:spacing w:line="300" w:lineRule="auto"/>
        <w:ind w:firstLine="480" w:firstLineChars="200"/>
      </w:pPr>
      <w:r>
        <w:fldChar w:fldCharType="begin"/>
      </w:r>
      <w:r>
        <w:instrText xml:space="preserve"> = 2 \* GB3 </w:instrText>
      </w:r>
      <w:r>
        <w:fldChar w:fldCharType="separate"/>
      </w:r>
      <w:r>
        <w:rPr>
          <w:rFonts w:hint="eastAsia"/>
        </w:rPr>
        <w:t>②</w:t>
      </w:r>
      <w:r>
        <w:rPr>
          <w:rFonts w:hint="eastAsia"/>
        </w:rPr>
        <w:fldChar w:fldCharType="end"/>
      </w:r>
      <w:r>
        <w:rPr>
          <w:rFonts w:hint="eastAsia"/>
        </w:rPr>
        <w:t>职业分析：</w:t>
      </w:r>
      <w:bookmarkStart w:id="17" w:name="_Hlk516240628"/>
    </w:p>
    <w:p>
      <w:pPr>
        <w:widowControl/>
        <w:jc w:val="left"/>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5.32 </w:t>
      </w:r>
      <w:r>
        <w:rPr>
          <w:rFonts w:hint="eastAsia" w:ascii="Times New Roman" w:hAnsi="Times New Roman" w:eastAsia="宋体" w:cs="Times New Roman"/>
          <w:sz w:val="21"/>
          <w:szCs w:val="21"/>
        </w:rPr>
        <w:t>社会办养老福利机构管理状况</w:t>
      </w:r>
    </w:p>
    <w:tbl>
      <w:tblPr>
        <w:tblStyle w:val="21"/>
        <w:tblW w:w="861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4"/>
        <w:gridCol w:w="2285"/>
        <w:gridCol w:w="1224"/>
        <w:gridCol w:w="1222"/>
        <w:gridCol w:w="1224"/>
        <w:gridCol w:w="1048"/>
        <w:gridCol w:w="99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72" w:hRule="atLeast"/>
          <w:tblHeader/>
          <w:jc w:val="center"/>
        </w:trPr>
        <w:tc>
          <w:tcPr>
            <w:tcW w:w="2899"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471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《武汉市社会办养老福利机构管理办法》实施后，您认为武汉市社会办养老福利机构管理状况有何变化？</w:t>
            </w:r>
          </w:p>
        </w:tc>
        <w:tc>
          <w:tcPr>
            <w:tcW w:w="99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2899"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24"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明显好转</w:t>
            </w:r>
          </w:p>
        </w:tc>
        <w:tc>
          <w:tcPr>
            <w:tcW w:w="122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有所好转</w:t>
            </w:r>
          </w:p>
        </w:tc>
        <w:tc>
          <w:tcPr>
            <w:tcW w:w="122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没有好转</w:t>
            </w:r>
          </w:p>
        </w:tc>
        <w:tc>
          <w:tcPr>
            <w:tcW w:w="104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9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89" w:hRule="atLeast"/>
          <w:tblHeader/>
          <w:jc w:val="center"/>
        </w:trPr>
        <w:tc>
          <w:tcPr>
            <w:tcW w:w="61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85"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2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34.3%</w:t>
            </w:r>
          </w:p>
        </w:tc>
        <w:tc>
          <w:tcPr>
            <w:tcW w:w="122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w:t>
            </w:r>
          </w:p>
        </w:tc>
        <w:tc>
          <w:tcPr>
            <w:tcW w:w="122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14.5%</w:t>
            </w:r>
          </w:p>
        </w:tc>
        <w:tc>
          <w:tcPr>
            <w:tcW w:w="104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35.4%</w:t>
            </w:r>
          </w:p>
        </w:tc>
        <w:tc>
          <w:tcPr>
            <w:tcW w:w="993"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18.5%</w:t>
            </w:r>
          </w:p>
        </w:tc>
        <w:tc>
          <w:tcPr>
            <w:tcW w:w="1048"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w:t>
            </w:r>
          </w:p>
        </w:tc>
        <w:tc>
          <w:tcPr>
            <w:tcW w:w="993"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26.5%</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39.7%</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41.9%</w:t>
            </w:r>
          </w:p>
        </w:tc>
        <w:tc>
          <w:tcPr>
            <w:tcW w:w="1048"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993"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27.5%</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24.3%</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25.0%</w:t>
            </w:r>
          </w:p>
        </w:tc>
        <w:tc>
          <w:tcPr>
            <w:tcW w:w="1048"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52.5%</w:t>
            </w:r>
          </w:p>
        </w:tc>
        <w:tc>
          <w:tcPr>
            <w:tcW w:w="993"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83" w:hRule="atLeast"/>
          <w:jc w:val="center"/>
        </w:trPr>
        <w:tc>
          <w:tcPr>
            <w:tcW w:w="2899"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2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4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93"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5.33 </w:t>
      </w:r>
      <w:r>
        <w:rPr>
          <w:rFonts w:hint="eastAsia" w:ascii="Times New Roman" w:hAnsi="Times New Roman" w:eastAsia="宋体" w:cs="Times New Roman"/>
          <w:sz w:val="21"/>
          <w:szCs w:val="21"/>
        </w:rPr>
        <w:t>立法目的实现情况</w:t>
      </w:r>
    </w:p>
    <w:tbl>
      <w:tblPr>
        <w:tblStyle w:val="21"/>
        <w:tblW w:w="858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20"/>
        <w:gridCol w:w="2278"/>
        <w:gridCol w:w="1236"/>
        <w:gridCol w:w="1235"/>
        <w:gridCol w:w="1236"/>
        <w:gridCol w:w="1124"/>
        <w:gridCol w:w="85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904" w:hRule="atLeast"/>
          <w:tblHeader/>
          <w:jc w:val="center"/>
        </w:trPr>
        <w:tc>
          <w:tcPr>
            <w:tcW w:w="2898"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4831"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规范社会办养老福利机构管理，维护社会办养老福利机构及其老年人的合法权益，促进社会养老福利事业发展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的立法目的是否实现？</w:t>
            </w:r>
          </w:p>
        </w:tc>
        <w:tc>
          <w:tcPr>
            <w:tcW w:w="851"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jc w:val="center"/>
        </w:trPr>
        <w:tc>
          <w:tcPr>
            <w:tcW w:w="2898"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3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实现</w:t>
            </w:r>
          </w:p>
        </w:tc>
        <w:tc>
          <w:tcPr>
            <w:tcW w:w="12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基本实现</w:t>
            </w:r>
          </w:p>
        </w:tc>
        <w:tc>
          <w:tcPr>
            <w:tcW w:w="123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没有实现</w:t>
            </w:r>
          </w:p>
        </w:tc>
        <w:tc>
          <w:tcPr>
            <w:tcW w:w="112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1"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6" w:hRule="atLeast"/>
          <w:tblHeader/>
          <w:jc w:val="center"/>
        </w:trPr>
        <w:tc>
          <w:tcPr>
            <w:tcW w:w="620"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78"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3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42.4%</w:t>
            </w:r>
          </w:p>
        </w:tc>
        <w:tc>
          <w:tcPr>
            <w:tcW w:w="12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16.3%</w:t>
            </w:r>
          </w:p>
        </w:tc>
        <w:tc>
          <w:tcPr>
            <w:tcW w:w="123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12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34.4%</w:t>
            </w:r>
          </w:p>
        </w:tc>
        <w:tc>
          <w:tcPr>
            <w:tcW w:w="851"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jc w:val="cent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7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3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7.1%</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2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17.7%</w:t>
            </w:r>
          </w:p>
        </w:tc>
        <w:tc>
          <w:tcPr>
            <w:tcW w:w="11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6.5%</w:t>
            </w:r>
          </w:p>
        </w:tc>
        <w:tc>
          <w:tcPr>
            <w:tcW w:w="85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jc w:val="cent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7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3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20.0%</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40.0%</w:t>
            </w:r>
          </w:p>
        </w:tc>
        <w:tc>
          <w:tcPr>
            <w:tcW w:w="12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11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16.2%</w:t>
            </w:r>
          </w:p>
        </w:tc>
        <w:tc>
          <w:tcPr>
            <w:tcW w:w="85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jc w:val="cent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7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3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30.6%</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26.4%</w:t>
            </w:r>
          </w:p>
        </w:tc>
        <w:tc>
          <w:tcPr>
            <w:tcW w:w="12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1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42.9%</w:t>
            </w:r>
          </w:p>
        </w:tc>
        <w:tc>
          <w:tcPr>
            <w:tcW w:w="85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0" w:hRule="atLeast"/>
          <w:jc w:val="center"/>
        </w:trPr>
        <w:tc>
          <w:tcPr>
            <w:tcW w:w="2898"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3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3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2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1"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5.34 </w:t>
      </w:r>
      <w:r>
        <w:rPr>
          <w:rFonts w:hint="eastAsia" w:ascii="Times New Roman" w:hAnsi="Times New Roman" w:eastAsia="宋体" w:cs="Times New Roman"/>
          <w:sz w:val="21"/>
          <w:szCs w:val="21"/>
        </w:rPr>
        <w:t>意识作用提高情况</w:t>
      </w:r>
    </w:p>
    <w:tbl>
      <w:tblPr>
        <w:tblStyle w:val="21"/>
        <w:tblW w:w="858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09"/>
        <w:gridCol w:w="2258"/>
        <w:gridCol w:w="1217"/>
        <w:gridCol w:w="1216"/>
        <w:gridCol w:w="1217"/>
        <w:gridCol w:w="1218"/>
        <w:gridCol w:w="84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26" w:hRule="atLeast"/>
          <w:tblHeader/>
          <w:jc w:val="center"/>
        </w:trPr>
        <w:tc>
          <w:tcPr>
            <w:tcW w:w="2867"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jc w:val="center"/>
              <w:rPr>
                <w:rFonts w:ascii="Times New Roman" w:hAnsi="Times New Roman" w:eastAsia="宋体" w:cs="Times New Roman"/>
                <w:kern w:val="0"/>
                <w:sz w:val="21"/>
                <w:szCs w:val="21"/>
              </w:rPr>
            </w:pPr>
          </w:p>
        </w:tc>
        <w:tc>
          <w:tcPr>
            <w:tcW w:w="486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您认为《武汉市社会办养老福利机构管理办法》对提高人们对社会办养老福利机构的意识作用如何？</w:t>
            </w:r>
          </w:p>
        </w:tc>
        <w:tc>
          <w:tcPr>
            <w:tcW w:w="845"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18" w:hRule="atLeast"/>
          <w:tblHeader/>
          <w:jc w:val="center"/>
        </w:trPr>
        <w:tc>
          <w:tcPr>
            <w:tcW w:w="2867"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17"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作用很大</w:t>
            </w:r>
          </w:p>
        </w:tc>
        <w:tc>
          <w:tcPr>
            <w:tcW w:w="121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作用较大</w:t>
            </w:r>
          </w:p>
        </w:tc>
        <w:tc>
          <w:tcPr>
            <w:tcW w:w="121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作用一般</w:t>
            </w:r>
          </w:p>
        </w:tc>
        <w:tc>
          <w:tcPr>
            <w:tcW w:w="121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45"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66" w:hRule="atLeast"/>
          <w:tblHeader/>
          <w:jc w:val="center"/>
        </w:trPr>
        <w:tc>
          <w:tcPr>
            <w:tcW w:w="609"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58" w:type="dxa"/>
            <w:tcBorders>
              <w:top w:val="single" w:color="000000" w:sz="18" w:space="0"/>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1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38.5%</w:t>
            </w:r>
          </w:p>
        </w:tc>
        <w:tc>
          <w:tcPr>
            <w:tcW w:w="121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20.8%</w:t>
            </w:r>
          </w:p>
        </w:tc>
        <w:tc>
          <w:tcPr>
            <w:tcW w:w="121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121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35.1%</w:t>
            </w:r>
          </w:p>
        </w:tc>
        <w:tc>
          <w:tcPr>
            <w:tcW w:w="845"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18" w:hRule="atLeast"/>
          <w:tblHeader/>
          <w:jc w:val="center"/>
        </w:trPr>
        <w:tc>
          <w:tcPr>
            <w:tcW w:w="60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58"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17"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w:t>
            </w:r>
          </w:p>
        </w:tc>
        <w:tc>
          <w:tcPr>
            <w:tcW w:w="1216"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14.8%</w:t>
            </w:r>
          </w:p>
        </w:tc>
        <w:tc>
          <w:tcPr>
            <w:tcW w:w="121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15.8%</w:t>
            </w:r>
          </w:p>
        </w:tc>
        <w:tc>
          <w:tcPr>
            <w:tcW w:w="121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5.4%</w:t>
            </w:r>
          </w:p>
        </w:tc>
        <w:tc>
          <w:tcPr>
            <w:tcW w:w="845"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18" w:hRule="atLeast"/>
          <w:tblHeader/>
          <w:jc w:val="center"/>
        </w:trPr>
        <w:tc>
          <w:tcPr>
            <w:tcW w:w="60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58"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17"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216"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37.3%</w:t>
            </w:r>
          </w:p>
        </w:tc>
        <w:tc>
          <w:tcPr>
            <w:tcW w:w="121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121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c>
          <w:tcPr>
            <w:tcW w:w="845"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18" w:hRule="atLeast"/>
          <w:tblHeader/>
          <w:jc w:val="center"/>
        </w:trPr>
        <w:tc>
          <w:tcPr>
            <w:tcW w:w="60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58" w:type="dxa"/>
            <w:tcBorders>
              <w:top w:val="nil"/>
              <w:left w:val="nil"/>
              <w:bottom w:val="nil"/>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17" w:type="dxa"/>
            <w:tcBorders>
              <w:top w:val="nil"/>
              <w:left w:val="single" w:color="000000" w:sz="1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26.0%</w:t>
            </w:r>
          </w:p>
        </w:tc>
        <w:tc>
          <w:tcPr>
            <w:tcW w:w="1216"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27.1%</w:t>
            </w:r>
          </w:p>
        </w:tc>
        <w:tc>
          <w:tcPr>
            <w:tcW w:w="1217"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29.2%</w:t>
            </w:r>
          </w:p>
        </w:tc>
        <w:tc>
          <w:tcPr>
            <w:tcW w:w="1218" w:type="dxa"/>
            <w:tcBorders>
              <w:top w:val="nil"/>
              <w:left w:val="single" w:color="000000" w:sz="8" w:space="0"/>
              <w:bottom w:val="nil"/>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46.8%</w:t>
            </w:r>
          </w:p>
        </w:tc>
        <w:tc>
          <w:tcPr>
            <w:tcW w:w="845" w:type="dxa"/>
            <w:tcBorders>
              <w:top w:val="nil"/>
              <w:left w:val="single" w:color="000000" w:sz="8" w:space="0"/>
              <w:bottom w:val="nil"/>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66" w:hRule="atLeast"/>
          <w:jc w:val="center"/>
        </w:trPr>
        <w:tc>
          <w:tcPr>
            <w:tcW w:w="2867"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1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1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1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1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45"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cs="Times New Roman"/>
          <w:kern w:val="0"/>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5.35 </w:t>
      </w:r>
      <w:r>
        <w:rPr>
          <w:rFonts w:hint="eastAsia" w:ascii="Times New Roman" w:hAnsi="Times New Roman" w:eastAsia="宋体" w:cs="Times New Roman"/>
          <w:sz w:val="21"/>
          <w:szCs w:val="21"/>
        </w:rPr>
        <w:t>管理部门守法程度</w:t>
      </w:r>
    </w:p>
    <w:tbl>
      <w:tblPr>
        <w:tblStyle w:val="21"/>
        <w:tblW w:w="8655"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3"/>
        <w:gridCol w:w="2298"/>
        <w:gridCol w:w="1224"/>
        <w:gridCol w:w="1222"/>
        <w:gridCol w:w="1224"/>
        <w:gridCol w:w="1224"/>
        <w:gridCol w:w="8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81" w:hRule="atLeast"/>
          <w:tblHeader/>
          <w:jc w:val="center"/>
        </w:trPr>
        <w:tc>
          <w:tcPr>
            <w:tcW w:w="2911"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4894"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您认为《武汉市社会办养老福利机构管理办法》实施后的武汉市社会办养老福利机构管理部门守法程度有何变化？</w:t>
            </w:r>
          </w:p>
        </w:tc>
        <w:tc>
          <w:tcPr>
            <w:tcW w:w="850"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2911"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24"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大大提高</w:t>
            </w:r>
          </w:p>
        </w:tc>
        <w:tc>
          <w:tcPr>
            <w:tcW w:w="122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有所提高</w:t>
            </w:r>
          </w:p>
        </w:tc>
        <w:tc>
          <w:tcPr>
            <w:tcW w:w="122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变化不大</w:t>
            </w:r>
          </w:p>
        </w:tc>
        <w:tc>
          <w:tcPr>
            <w:tcW w:w="122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0"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1" w:hRule="atLeast"/>
          <w:tblHeader/>
          <w:jc w:val="center"/>
        </w:trPr>
        <w:tc>
          <w:tcPr>
            <w:tcW w:w="61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98"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2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30.1%</w:t>
            </w:r>
          </w:p>
        </w:tc>
        <w:tc>
          <w:tcPr>
            <w:tcW w:w="122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22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22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w:t>
            </w:r>
          </w:p>
        </w:tc>
        <w:tc>
          <w:tcPr>
            <w:tcW w:w="850"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9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7.3%</w:t>
            </w:r>
          </w:p>
        </w:tc>
        <w:tc>
          <w:tcPr>
            <w:tcW w:w="85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9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23.3%</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36.7%</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33.5%</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85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9" w:hRule="atLeast"/>
          <w:tblHeader/>
          <w:jc w:val="center"/>
        </w:trPr>
        <w:tc>
          <w:tcPr>
            <w:tcW w:w="61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9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2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222"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27.6%</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30.5%</w:t>
            </w:r>
          </w:p>
        </w:tc>
        <w:tc>
          <w:tcPr>
            <w:tcW w:w="122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85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84" w:hRule="atLeast"/>
          <w:jc w:val="center"/>
        </w:trPr>
        <w:tc>
          <w:tcPr>
            <w:tcW w:w="2911"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2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0"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5.36 </w:t>
      </w:r>
      <w:r>
        <w:rPr>
          <w:rFonts w:hint="eastAsia" w:ascii="Times New Roman" w:hAnsi="Times New Roman" w:eastAsia="宋体" w:cs="Times New Roman"/>
          <w:sz w:val="21"/>
          <w:szCs w:val="21"/>
        </w:rPr>
        <w:t>相关从业人员守法程度</w:t>
      </w:r>
    </w:p>
    <w:tbl>
      <w:tblPr>
        <w:tblStyle w:val="21"/>
        <w:tblW w:w="867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5"/>
        <w:gridCol w:w="2296"/>
        <w:gridCol w:w="1227"/>
        <w:gridCol w:w="1225"/>
        <w:gridCol w:w="1227"/>
        <w:gridCol w:w="1227"/>
        <w:gridCol w:w="85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92" w:hRule="atLeast"/>
          <w:tblHeader/>
          <w:jc w:val="center"/>
        </w:trPr>
        <w:tc>
          <w:tcPr>
            <w:tcW w:w="2911"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spacing w:line="276" w:lineRule="auto"/>
              <w:jc w:val="center"/>
              <w:rPr>
                <w:rFonts w:ascii="Times New Roman" w:hAnsi="Times New Roman" w:eastAsia="宋体" w:cs="Times New Roman"/>
                <w:sz w:val="21"/>
                <w:szCs w:val="21"/>
              </w:rPr>
            </w:pPr>
          </w:p>
        </w:tc>
        <w:tc>
          <w:tcPr>
            <w:tcW w:w="4906"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您认为《武汉市社会办养老福利机构管理办法》实施后的武汉市社会办养老福利机构相关从业人员守法程度有何变化？</w:t>
            </w:r>
          </w:p>
        </w:tc>
        <w:tc>
          <w:tcPr>
            <w:tcW w:w="85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jc w:val="center"/>
        </w:trPr>
        <w:tc>
          <w:tcPr>
            <w:tcW w:w="2911"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sz w:val="21"/>
                <w:szCs w:val="21"/>
              </w:rPr>
            </w:pPr>
          </w:p>
        </w:tc>
        <w:tc>
          <w:tcPr>
            <w:tcW w:w="1227"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大大提高</w:t>
            </w:r>
          </w:p>
        </w:tc>
        <w:tc>
          <w:tcPr>
            <w:tcW w:w="122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有所提高</w:t>
            </w:r>
          </w:p>
        </w:tc>
        <w:tc>
          <w:tcPr>
            <w:tcW w:w="122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变化不大</w:t>
            </w:r>
          </w:p>
        </w:tc>
        <w:tc>
          <w:tcPr>
            <w:tcW w:w="122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spacing w:line="276" w:lineRule="auto"/>
              <w:ind w:left="60" w:right="60"/>
              <w:jc w:val="center"/>
              <w:rPr>
                <w:rFonts w:ascii="Times New Roman" w:hAnsi="Times New Roman" w:eastAsia="宋体" w:cs="Times New Roman"/>
                <w:sz w:val="21"/>
                <w:szCs w:val="21"/>
              </w:rPr>
            </w:pPr>
            <w:r>
              <w:rPr>
                <w:rFonts w:hint="eastAsia" w:ascii="Times New Roman" w:hAnsi="宋体" w:eastAsia="宋体" w:cs="Times New Roman"/>
                <w:sz w:val="21"/>
                <w:szCs w:val="21"/>
              </w:rPr>
              <w:t>不清楚</w:t>
            </w:r>
          </w:p>
        </w:tc>
        <w:tc>
          <w:tcPr>
            <w:tcW w:w="85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3" w:hRule="atLeast"/>
          <w:tblHeader/>
          <w:jc w:val="center"/>
        </w:trPr>
        <w:tc>
          <w:tcPr>
            <w:tcW w:w="615" w:type="dxa"/>
            <w:vMerge w:val="restart"/>
            <w:tcBorders>
              <w:top w:val="single" w:color="000000" w:sz="18" w:space="0"/>
              <w:left w:val="single" w:color="000000" w:sz="18" w:space="0"/>
              <w:bottom w:val="nil"/>
              <w:right w:val="nil"/>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职业</w:t>
            </w:r>
          </w:p>
        </w:tc>
        <w:tc>
          <w:tcPr>
            <w:tcW w:w="2296" w:type="dxa"/>
            <w:tcBorders>
              <w:top w:val="single" w:color="000000" w:sz="18" w:space="0"/>
              <w:left w:val="nil"/>
              <w:bottom w:val="nil"/>
              <w:right w:val="single" w:color="000000" w:sz="18" w:space="0"/>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机关事业单位工作人员</w:t>
            </w:r>
          </w:p>
        </w:tc>
        <w:tc>
          <w:tcPr>
            <w:tcW w:w="1227" w:type="dxa"/>
            <w:tcBorders>
              <w:top w:val="single" w:color="000000" w:sz="18" w:space="0"/>
              <w:left w:val="single" w:color="000000" w:sz="1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33.7%</w:t>
            </w:r>
          </w:p>
        </w:tc>
        <w:tc>
          <w:tcPr>
            <w:tcW w:w="1225" w:type="dxa"/>
            <w:tcBorders>
              <w:top w:val="single" w:color="000000" w:sz="18" w:space="0"/>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19.0%</w:t>
            </w:r>
          </w:p>
        </w:tc>
        <w:tc>
          <w:tcPr>
            <w:tcW w:w="1227" w:type="dxa"/>
            <w:tcBorders>
              <w:top w:val="single" w:color="000000" w:sz="18" w:space="0"/>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19.6%</w:t>
            </w:r>
          </w:p>
        </w:tc>
        <w:tc>
          <w:tcPr>
            <w:tcW w:w="1227" w:type="dxa"/>
            <w:tcBorders>
              <w:top w:val="single" w:color="000000" w:sz="18" w:space="0"/>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34.1%</w:t>
            </w:r>
          </w:p>
        </w:tc>
        <w:tc>
          <w:tcPr>
            <w:tcW w:w="853" w:type="dxa"/>
            <w:tcBorders>
              <w:top w:val="single" w:color="000000" w:sz="18" w:space="0"/>
              <w:left w:val="single" w:color="000000" w:sz="8" w:space="0"/>
              <w:bottom w:val="nil"/>
              <w:right w:val="single" w:color="000000" w:sz="1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sz w:val="21"/>
                <w:szCs w:val="21"/>
              </w:rPr>
            </w:pPr>
          </w:p>
        </w:tc>
        <w:tc>
          <w:tcPr>
            <w:tcW w:w="2296" w:type="dxa"/>
            <w:tcBorders>
              <w:top w:val="nil"/>
              <w:left w:val="nil"/>
              <w:bottom w:val="nil"/>
              <w:right w:val="single" w:color="000000" w:sz="18" w:space="0"/>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国有企业工作人员</w:t>
            </w:r>
          </w:p>
        </w:tc>
        <w:tc>
          <w:tcPr>
            <w:tcW w:w="1227" w:type="dxa"/>
            <w:tcBorders>
              <w:top w:val="nil"/>
              <w:left w:val="single" w:color="000000" w:sz="1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13.3%</w:t>
            </w:r>
          </w:p>
        </w:tc>
        <w:tc>
          <w:tcPr>
            <w:tcW w:w="1225"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15.2%</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18.6%</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5.4%</w:t>
            </w:r>
          </w:p>
        </w:tc>
        <w:tc>
          <w:tcPr>
            <w:tcW w:w="853" w:type="dxa"/>
            <w:tcBorders>
              <w:top w:val="nil"/>
              <w:left w:val="single" w:color="000000" w:sz="8" w:space="0"/>
              <w:bottom w:val="nil"/>
              <w:right w:val="single" w:color="000000" w:sz="1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sz w:val="21"/>
                <w:szCs w:val="21"/>
              </w:rPr>
            </w:pPr>
          </w:p>
        </w:tc>
        <w:tc>
          <w:tcPr>
            <w:tcW w:w="2296" w:type="dxa"/>
            <w:tcBorders>
              <w:top w:val="nil"/>
              <w:left w:val="nil"/>
              <w:bottom w:val="nil"/>
              <w:right w:val="single" w:color="000000" w:sz="18" w:space="0"/>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私营、外资、个体企业工作人员</w:t>
            </w:r>
          </w:p>
        </w:tc>
        <w:tc>
          <w:tcPr>
            <w:tcW w:w="1227" w:type="dxa"/>
            <w:tcBorders>
              <w:top w:val="nil"/>
              <w:left w:val="single" w:color="000000" w:sz="1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25.3%</w:t>
            </w:r>
          </w:p>
        </w:tc>
        <w:tc>
          <w:tcPr>
            <w:tcW w:w="1225"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40.1%</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29.6%</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17.1%</w:t>
            </w:r>
          </w:p>
        </w:tc>
        <w:tc>
          <w:tcPr>
            <w:tcW w:w="853" w:type="dxa"/>
            <w:tcBorders>
              <w:top w:val="nil"/>
              <w:left w:val="single" w:color="000000" w:sz="8" w:space="0"/>
              <w:bottom w:val="nil"/>
              <w:right w:val="single" w:color="000000" w:sz="1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sz w:val="21"/>
                <w:szCs w:val="21"/>
              </w:rPr>
            </w:pPr>
          </w:p>
        </w:tc>
        <w:tc>
          <w:tcPr>
            <w:tcW w:w="2296" w:type="dxa"/>
            <w:tcBorders>
              <w:top w:val="nil"/>
              <w:left w:val="nil"/>
              <w:bottom w:val="nil"/>
              <w:right w:val="single" w:color="000000" w:sz="18" w:space="0"/>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自由职业或无业</w:t>
            </w:r>
          </w:p>
        </w:tc>
        <w:tc>
          <w:tcPr>
            <w:tcW w:w="1227" w:type="dxa"/>
            <w:tcBorders>
              <w:top w:val="nil"/>
              <w:left w:val="single" w:color="000000" w:sz="1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27.7%</w:t>
            </w:r>
          </w:p>
        </w:tc>
        <w:tc>
          <w:tcPr>
            <w:tcW w:w="1225"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25.7%</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32.2%</w:t>
            </w:r>
          </w:p>
        </w:tc>
        <w:tc>
          <w:tcPr>
            <w:tcW w:w="1227" w:type="dxa"/>
            <w:tcBorders>
              <w:top w:val="nil"/>
              <w:left w:val="single" w:color="000000" w:sz="8" w:space="0"/>
              <w:bottom w:val="nil"/>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43.4%</w:t>
            </w:r>
          </w:p>
        </w:tc>
        <w:tc>
          <w:tcPr>
            <w:tcW w:w="853" w:type="dxa"/>
            <w:tcBorders>
              <w:top w:val="nil"/>
              <w:left w:val="single" w:color="000000" w:sz="8" w:space="0"/>
              <w:bottom w:val="nil"/>
              <w:right w:val="single" w:color="000000" w:sz="1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9" w:hRule="atLeast"/>
          <w:jc w:val="center"/>
        </w:trPr>
        <w:tc>
          <w:tcPr>
            <w:tcW w:w="2911" w:type="dxa"/>
            <w:gridSpan w:val="2"/>
            <w:tcBorders>
              <w:top w:val="nil"/>
              <w:left w:val="single" w:color="000000" w:sz="18" w:space="0"/>
              <w:bottom w:val="single" w:color="000000" w:sz="18" w:space="0"/>
              <w:right w:val="single" w:color="000000" w:sz="18" w:space="0"/>
            </w:tcBorders>
            <w:shd w:val="clear" w:color="auto" w:fill="FFFFFF"/>
          </w:tcPr>
          <w:p>
            <w:pPr>
              <w:spacing w:line="276" w:lineRule="auto"/>
              <w:ind w:left="60" w:right="60"/>
              <w:rPr>
                <w:rFonts w:ascii="Times New Roman" w:hAnsi="Times New Roman" w:eastAsia="宋体" w:cs="Times New Roman"/>
                <w:sz w:val="21"/>
                <w:szCs w:val="21"/>
              </w:rPr>
            </w:pPr>
            <w:r>
              <w:rPr>
                <w:rFonts w:hint="eastAsia" w:ascii="Times New Roman" w:hAnsi="宋体" w:eastAsia="宋体" w:cs="Times New Roman"/>
                <w:sz w:val="21"/>
                <w:szCs w:val="21"/>
              </w:rPr>
              <w:t>合计</w:t>
            </w:r>
          </w:p>
        </w:tc>
        <w:tc>
          <w:tcPr>
            <w:tcW w:w="1227" w:type="dxa"/>
            <w:tcBorders>
              <w:top w:val="nil"/>
              <w:left w:val="single" w:color="000000" w:sz="18" w:space="0"/>
              <w:bottom w:val="single" w:color="000000" w:sz="18" w:space="0"/>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25" w:type="dxa"/>
            <w:tcBorders>
              <w:top w:val="nil"/>
              <w:left w:val="single" w:color="000000" w:sz="8" w:space="0"/>
              <w:bottom w:val="single" w:color="000000" w:sz="18" w:space="0"/>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27" w:type="dxa"/>
            <w:tcBorders>
              <w:top w:val="nil"/>
              <w:left w:val="single" w:color="000000" w:sz="8" w:space="0"/>
              <w:bottom w:val="single" w:color="000000" w:sz="18" w:space="0"/>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1227" w:type="dxa"/>
            <w:tcBorders>
              <w:top w:val="nil"/>
              <w:left w:val="single" w:color="000000" w:sz="8" w:space="0"/>
              <w:bottom w:val="single" w:color="000000" w:sz="18" w:space="0"/>
              <w:right w:val="single" w:color="000000" w:sz="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100.0%</w:t>
            </w:r>
          </w:p>
        </w:tc>
        <w:tc>
          <w:tcPr>
            <w:tcW w:w="853" w:type="dxa"/>
            <w:tcBorders>
              <w:top w:val="nil"/>
              <w:left w:val="single" w:color="000000" w:sz="8" w:space="0"/>
              <w:bottom w:val="single" w:color="000000" w:sz="18" w:space="0"/>
              <w:right w:val="single" w:color="000000" w:sz="18" w:space="0"/>
            </w:tcBorders>
            <w:shd w:val="clear" w:color="auto" w:fill="FFFFFF"/>
          </w:tcPr>
          <w:p>
            <w:pPr>
              <w:spacing w:line="276" w:lineRule="auto"/>
              <w:ind w:left="60" w:right="60"/>
              <w:jc w:val="right"/>
              <w:rPr>
                <w:rFonts w:ascii="Times New Roman" w:hAnsi="Times New Roman" w:eastAsia="宋体" w:cs="Times New Roman"/>
                <w:sz w:val="21"/>
                <w:szCs w:val="21"/>
              </w:rPr>
            </w:pPr>
            <w:r>
              <w:rPr>
                <w:rFonts w:ascii="Times New Roman" w:hAnsi="Times New Roman" w:eastAsia="宋体" w:cs="Times New Roman"/>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5.37 </w:t>
      </w:r>
      <w:r>
        <w:rPr>
          <w:rFonts w:hint="eastAsia" w:ascii="Times New Roman" w:hAnsi="Times New Roman" w:eastAsia="宋体" w:cs="Times New Roman"/>
          <w:sz w:val="21"/>
          <w:szCs w:val="21"/>
        </w:rPr>
        <w:t>监管部门及执法人员执法情况</w:t>
      </w:r>
    </w:p>
    <w:tbl>
      <w:tblPr>
        <w:tblStyle w:val="21"/>
        <w:tblW w:w="864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5"/>
        <w:gridCol w:w="2268"/>
        <w:gridCol w:w="1226"/>
        <w:gridCol w:w="1225"/>
        <w:gridCol w:w="1226"/>
        <w:gridCol w:w="1227"/>
        <w:gridCol w:w="85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53" w:hRule="atLeast"/>
          <w:tblHeader/>
          <w:jc w:val="center"/>
        </w:trPr>
        <w:tc>
          <w:tcPr>
            <w:tcW w:w="2883"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4904"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您对武汉市社会办养老福利机构监管部门及其执法人员的执法情况是否满意？</w:t>
            </w:r>
          </w:p>
        </w:tc>
        <w:tc>
          <w:tcPr>
            <w:tcW w:w="85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jc w:val="center"/>
        </w:trPr>
        <w:tc>
          <w:tcPr>
            <w:tcW w:w="2883"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2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非常满意</w:t>
            </w:r>
          </w:p>
        </w:tc>
        <w:tc>
          <w:tcPr>
            <w:tcW w:w="122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满意</w:t>
            </w:r>
          </w:p>
        </w:tc>
        <w:tc>
          <w:tcPr>
            <w:tcW w:w="122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不满意</w:t>
            </w:r>
          </w:p>
        </w:tc>
        <w:tc>
          <w:tcPr>
            <w:tcW w:w="122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6" w:hRule="atLeast"/>
          <w:tblHeader/>
          <w:jc w:val="center"/>
        </w:trPr>
        <w:tc>
          <w:tcPr>
            <w:tcW w:w="615"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68"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2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30.3%</w:t>
            </w:r>
          </w:p>
        </w:tc>
        <w:tc>
          <w:tcPr>
            <w:tcW w:w="122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22.4%</w:t>
            </w:r>
          </w:p>
        </w:tc>
        <w:tc>
          <w:tcPr>
            <w:tcW w:w="122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c>
          <w:tcPr>
            <w:tcW w:w="122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29.4%</w:t>
            </w:r>
          </w:p>
        </w:tc>
        <w:tc>
          <w:tcPr>
            <w:tcW w:w="853"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2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15.2%</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122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10.4%</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2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25.8%</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36.3%</w:t>
            </w:r>
          </w:p>
        </w:tc>
        <w:tc>
          <w:tcPr>
            <w:tcW w:w="122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41.7%</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19.4%</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8"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2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27.8%</w:t>
            </w:r>
          </w:p>
        </w:tc>
        <w:tc>
          <w:tcPr>
            <w:tcW w:w="122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40.8%</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9" w:hRule="atLeast"/>
          <w:jc w:val="center"/>
        </w:trPr>
        <w:tc>
          <w:tcPr>
            <w:tcW w:w="2883"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2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3"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5.38 </w:t>
      </w:r>
      <w:r>
        <w:rPr>
          <w:rFonts w:hint="eastAsia" w:ascii="Times New Roman" w:hAnsi="Times New Roman" w:eastAsia="宋体" w:cs="Times New Roman"/>
          <w:sz w:val="21"/>
          <w:szCs w:val="21"/>
        </w:rPr>
        <w:t>监管部门及执法人员执法检查方式合理情况</w:t>
      </w:r>
    </w:p>
    <w:tbl>
      <w:tblPr>
        <w:tblStyle w:val="21"/>
        <w:tblW w:w="8640"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5"/>
        <w:gridCol w:w="2267"/>
        <w:gridCol w:w="1227"/>
        <w:gridCol w:w="1225"/>
        <w:gridCol w:w="1227"/>
        <w:gridCol w:w="1227"/>
        <w:gridCol w:w="8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89" w:hRule="atLeast"/>
          <w:tblHeader/>
          <w:jc w:val="center"/>
        </w:trPr>
        <w:tc>
          <w:tcPr>
            <w:tcW w:w="288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4906"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您认为社会办养老福利机构监管部门及其执法人员在进行执法检查时，检查方式是否合理？</w:t>
            </w:r>
          </w:p>
        </w:tc>
        <w:tc>
          <w:tcPr>
            <w:tcW w:w="85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2" w:hRule="atLeast"/>
          <w:tblHeader/>
          <w:jc w:val="center"/>
        </w:trPr>
        <w:tc>
          <w:tcPr>
            <w:tcW w:w="288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27"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合理</w:t>
            </w:r>
          </w:p>
        </w:tc>
        <w:tc>
          <w:tcPr>
            <w:tcW w:w="122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不够合理</w:t>
            </w:r>
          </w:p>
        </w:tc>
        <w:tc>
          <w:tcPr>
            <w:tcW w:w="122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不合理</w:t>
            </w:r>
          </w:p>
        </w:tc>
        <w:tc>
          <w:tcPr>
            <w:tcW w:w="122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8" w:hRule="atLeast"/>
          <w:tblHeader/>
          <w:jc w:val="center"/>
        </w:trPr>
        <w:tc>
          <w:tcPr>
            <w:tcW w:w="615"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267"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22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25.7%</w:t>
            </w:r>
          </w:p>
        </w:tc>
        <w:tc>
          <w:tcPr>
            <w:tcW w:w="122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14.5%</w:t>
            </w:r>
          </w:p>
        </w:tc>
        <w:tc>
          <w:tcPr>
            <w:tcW w:w="122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18.4%</w:t>
            </w:r>
          </w:p>
        </w:tc>
        <w:tc>
          <w:tcPr>
            <w:tcW w:w="122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30.0%</w:t>
            </w:r>
          </w:p>
        </w:tc>
        <w:tc>
          <w:tcPr>
            <w:tcW w:w="85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2"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22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12.8%</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15.9%</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22.3%</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2"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22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32.7%</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43.9%</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35.9%</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20.6%</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2" w:hRule="atLeast"/>
          <w:tblHeader/>
          <w:jc w:val="cent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267"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22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22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25.7%</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23.3%</w:t>
            </w:r>
          </w:p>
        </w:tc>
        <w:tc>
          <w:tcPr>
            <w:tcW w:w="122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38.5%</w:t>
            </w:r>
          </w:p>
        </w:tc>
        <w:tc>
          <w:tcPr>
            <w:tcW w:w="8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8" w:hRule="atLeast"/>
          <w:jc w:val="center"/>
        </w:trPr>
        <w:tc>
          <w:tcPr>
            <w:tcW w:w="288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2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可以看出，机关事业单位工作人员和国有企业工作人员对监管部门及执法人员执法情况以及检查情况这两方面的认可程度均不高；私营、外资、个体企业工作人员对监管部门及执法人员检查情况认可程度较低；自由职业或者无业人员虽然对上述所有方面的执行情况认可程度都不高，但是在不认可的公众中选择对执行情况不清楚的公众占比较大。综上从职业的角度分析，该办法在机关事业单位和国有企业工作人员中的执行情况要优于在私营、外资、个体企业工作人员和自由职业或者无业人员中的执行情况。</w:t>
      </w:r>
    </w:p>
    <w:bookmarkEnd w:id="17"/>
    <w:p>
      <w:pPr>
        <w:spacing w:line="300" w:lineRule="auto"/>
        <w:ind w:firstLine="480" w:firstLineChars="200"/>
      </w:pPr>
      <w:bookmarkStart w:id="18" w:name="OLE_LINK2"/>
      <w:r>
        <w:fldChar w:fldCharType="begin"/>
      </w:r>
      <w:r>
        <w:instrText xml:space="preserve"> = 3 \* GB3 </w:instrText>
      </w:r>
      <w:r>
        <w:fldChar w:fldCharType="separate"/>
      </w:r>
      <w:r>
        <w:rPr>
          <w:rFonts w:hint="eastAsia"/>
        </w:rPr>
        <w:t>③</w:t>
      </w:r>
      <w:r>
        <w:fldChar w:fldCharType="end"/>
      </w:r>
      <w:bookmarkEnd w:id="18"/>
      <w:r>
        <w:rPr>
          <w:rFonts w:hint="eastAsia"/>
        </w:rPr>
        <w:t>学历分析：</w:t>
      </w:r>
    </w:p>
    <w:p>
      <w:pPr>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5.39 </w:t>
      </w:r>
      <w:r>
        <w:rPr>
          <w:rFonts w:hint="eastAsia" w:ascii="Times New Roman" w:hAnsi="Times New Roman" w:eastAsia="宋体" w:cs="Times New Roman"/>
          <w:sz w:val="21"/>
          <w:szCs w:val="21"/>
        </w:rPr>
        <w:t>社会办养老福利机构管理状况</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8"/>
        <w:gridCol w:w="1583"/>
        <w:gridCol w:w="1276"/>
        <w:gridCol w:w="1184"/>
        <w:gridCol w:w="1372"/>
        <w:gridCol w:w="1376"/>
        <w:gridCol w:w="95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2271"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20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《武汉市社会办养老福利机构管理办法》实施后，您认为武汉市社会办养老福利机构管理状况有何变化？</w:t>
            </w:r>
          </w:p>
        </w:tc>
        <w:tc>
          <w:tcPr>
            <w:tcW w:w="951"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2271"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明显好转</w:t>
            </w:r>
          </w:p>
        </w:tc>
        <w:tc>
          <w:tcPr>
            <w:tcW w:w="118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有所好转</w:t>
            </w:r>
          </w:p>
        </w:tc>
        <w:tc>
          <w:tcPr>
            <w:tcW w:w="137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没有好转</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1"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688"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3"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20.6%</w:t>
            </w:r>
          </w:p>
        </w:tc>
        <w:tc>
          <w:tcPr>
            <w:tcW w:w="118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13.2%</w:t>
            </w:r>
          </w:p>
        </w:tc>
        <w:tc>
          <w:tcPr>
            <w:tcW w:w="137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15.3%</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951"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68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7.8%</w:t>
            </w:r>
          </w:p>
        </w:tc>
        <w:tc>
          <w:tcPr>
            <w:tcW w:w="11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6.5%</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w:t>
            </w:r>
          </w:p>
        </w:tc>
        <w:tc>
          <w:tcPr>
            <w:tcW w:w="95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68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18.6%</w:t>
            </w:r>
          </w:p>
        </w:tc>
        <w:tc>
          <w:tcPr>
            <w:tcW w:w="11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25.0%</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33.1%</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13.3%</w:t>
            </w:r>
          </w:p>
        </w:tc>
        <w:tc>
          <w:tcPr>
            <w:tcW w:w="95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68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38.2%</w:t>
            </w:r>
          </w:p>
        </w:tc>
        <w:tc>
          <w:tcPr>
            <w:tcW w:w="11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32.9%</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33.9%</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44.3%</w:t>
            </w:r>
          </w:p>
        </w:tc>
        <w:tc>
          <w:tcPr>
            <w:tcW w:w="95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31" w:hRule="atLeast"/>
          <w:tblHeader/>
        </w:trPr>
        <w:tc>
          <w:tcPr>
            <w:tcW w:w="68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14.7%</w:t>
            </w:r>
          </w:p>
        </w:tc>
        <w:tc>
          <w:tcPr>
            <w:tcW w:w="11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12.0%</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26.6%</w:t>
            </w:r>
          </w:p>
        </w:tc>
        <w:tc>
          <w:tcPr>
            <w:tcW w:w="951"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522" w:hRule="atLeast"/>
        </w:trPr>
        <w:tc>
          <w:tcPr>
            <w:tcW w:w="2271"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8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1"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widowControl/>
        <w:jc w:val="left"/>
        <w:rPr>
          <w:sz w:val="21"/>
        </w:rPr>
      </w:pPr>
    </w:p>
    <w:p>
      <w:pPr>
        <w:widowControl/>
        <w:jc w:val="left"/>
        <w:rPr>
          <w:sz w:val="21"/>
        </w:rPr>
      </w:pPr>
    </w:p>
    <w:p>
      <w:pPr>
        <w:widowControl/>
        <w:jc w:val="left"/>
        <w:rPr>
          <w:sz w:val="21"/>
        </w:rPr>
      </w:pPr>
    </w:p>
    <w:p>
      <w:pPr>
        <w:widowControl/>
        <w:jc w:val="left"/>
        <w:rPr>
          <w:sz w:val="21"/>
        </w:rPr>
      </w:pPr>
    </w:p>
    <w:p>
      <w:pPr>
        <w:spacing w:line="300" w:lineRule="auto"/>
        <w:jc w:val="center"/>
        <w:rPr>
          <w:sz w:val="21"/>
        </w:rPr>
      </w:pPr>
      <w:r>
        <w:rPr>
          <w:rFonts w:hint="eastAsia"/>
          <w:sz w:val="21"/>
        </w:rPr>
        <w:t>表</w:t>
      </w:r>
      <w:r>
        <w:rPr>
          <w:sz w:val="21"/>
        </w:rPr>
        <w:t xml:space="preserve">5.40 </w:t>
      </w:r>
      <w:r>
        <w:rPr>
          <w:rFonts w:hint="eastAsia"/>
          <w:sz w:val="21"/>
        </w:rPr>
        <w:t>立法目的实现情况</w:t>
      </w:r>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7"/>
        <w:gridCol w:w="1583"/>
        <w:gridCol w:w="1276"/>
        <w:gridCol w:w="1194"/>
        <w:gridCol w:w="1375"/>
        <w:gridCol w:w="1376"/>
        <w:gridCol w:w="9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953" w:hRule="atLeast"/>
          <w:tblHeader/>
        </w:trPr>
        <w:tc>
          <w:tcPr>
            <w:tcW w:w="2270"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76" w:lineRule="auto"/>
              <w:jc w:val="left"/>
              <w:rPr>
                <w:rFonts w:ascii="Times New Roman" w:hAnsi="Times New Roman" w:eastAsia="宋体" w:cs="Times New Roman"/>
                <w:kern w:val="0"/>
                <w:sz w:val="21"/>
                <w:szCs w:val="21"/>
              </w:rPr>
            </w:pPr>
          </w:p>
        </w:tc>
        <w:tc>
          <w:tcPr>
            <w:tcW w:w="5221"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规范社会办养老福利机构管理，维护社会办养老福利机构及其老年人的合法权益，促进社会养老福利事业发展</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的立法目的是否实现？</w:t>
            </w:r>
          </w:p>
        </w:tc>
        <w:tc>
          <w:tcPr>
            <w:tcW w:w="95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2270"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实现</w:t>
            </w:r>
          </w:p>
        </w:tc>
        <w:tc>
          <w:tcPr>
            <w:tcW w:w="119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基本实现</w:t>
            </w:r>
          </w:p>
        </w:tc>
        <w:tc>
          <w:tcPr>
            <w:tcW w:w="137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没有实现</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0" w:hRule="atLeast"/>
          <w:tblHeader/>
        </w:trPr>
        <w:tc>
          <w:tcPr>
            <w:tcW w:w="687"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3"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8.2%</w:t>
            </w:r>
          </w:p>
        </w:tc>
        <w:tc>
          <w:tcPr>
            <w:tcW w:w="119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16.0%</w:t>
            </w:r>
          </w:p>
        </w:tc>
        <w:tc>
          <w:tcPr>
            <w:tcW w:w="137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12.3%</w:t>
            </w:r>
          </w:p>
        </w:tc>
        <w:tc>
          <w:tcPr>
            <w:tcW w:w="95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21.2%</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23.2%</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30.1%</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15.6%</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45.9%</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32.8%</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33.3%</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41.6%</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14.4%</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8.6%</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26.0%</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3" w:hRule="atLeast"/>
        </w:trPr>
        <w:tc>
          <w:tcPr>
            <w:tcW w:w="2270"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9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bookmarkStart w:id="19" w:name="_Hlk516241296"/>
    </w:p>
    <w:p>
      <w:pPr>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5.41 </w:t>
      </w:r>
      <w:r>
        <w:rPr>
          <w:rFonts w:hint="eastAsia" w:ascii="Times New Roman" w:hAnsi="Times New Roman" w:eastAsia="宋体" w:cs="Times New Roman"/>
          <w:sz w:val="21"/>
          <w:szCs w:val="21"/>
        </w:rPr>
        <w:t>意识作用提高情况</w:t>
      </w:r>
      <w:bookmarkEnd w:id="19"/>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7"/>
        <w:gridCol w:w="1583"/>
        <w:gridCol w:w="1276"/>
        <w:gridCol w:w="1194"/>
        <w:gridCol w:w="1375"/>
        <w:gridCol w:w="1376"/>
        <w:gridCol w:w="9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29" w:hRule="atLeast"/>
          <w:tblHeader/>
        </w:trPr>
        <w:tc>
          <w:tcPr>
            <w:tcW w:w="2270"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5221"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您认为《武汉市社会办养老福利机构管理办法》对提高人们对社会办养老福利机构的意识作用如何？</w:t>
            </w:r>
          </w:p>
        </w:tc>
        <w:tc>
          <w:tcPr>
            <w:tcW w:w="95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2270"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作用很大</w:t>
            </w:r>
          </w:p>
        </w:tc>
        <w:tc>
          <w:tcPr>
            <w:tcW w:w="119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作用较大</w:t>
            </w:r>
          </w:p>
        </w:tc>
        <w:tc>
          <w:tcPr>
            <w:tcW w:w="137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作用一般</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8" w:hRule="atLeast"/>
          <w:tblHeader/>
        </w:trPr>
        <w:tc>
          <w:tcPr>
            <w:tcW w:w="687"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3"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14.4%</w:t>
            </w:r>
          </w:p>
        </w:tc>
        <w:tc>
          <w:tcPr>
            <w:tcW w:w="119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137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17.4%</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9.9%</w:t>
            </w:r>
          </w:p>
        </w:tc>
        <w:tc>
          <w:tcPr>
            <w:tcW w:w="95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11.4%</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14.2%</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6.3%</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28.0%</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24.9%</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9.9%</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44.2%</w:t>
            </w:r>
          </w:p>
        </w:tc>
        <w:tc>
          <w:tcPr>
            <w:tcW w:w="119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33.7%</w:t>
            </w:r>
          </w:p>
        </w:tc>
        <w:tc>
          <w:tcPr>
            <w:tcW w:w="13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32.0%</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44.1%</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3" w:type="dxa"/>
            <w:tcBorders>
              <w:top w:val="nil"/>
              <w:left w:val="nil"/>
              <w:bottom w:val="single" w:color="auto" w:sz="6"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6" w:type="dxa"/>
            <w:tcBorders>
              <w:top w:val="nil"/>
              <w:left w:val="single" w:color="000000" w:sz="1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11.5%</w:t>
            </w:r>
          </w:p>
        </w:tc>
        <w:tc>
          <w:tcPr>
            <w:tcW w:w="1194" w:type="dxa"/>
            <w:tcBorders>
              <w:top w:val="nil"/>
              <w:left w:val="single" w:color="000000" w:sz="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14.2%</w:t>
            </w:r>
          </w:p>
        </w:tc>
        <w:tc>
          <w:tcPr>
            <w:tcW w:w="1375" w:type="dxa"/>
            <w:tcBorders>
              <w:top w:val="nil"/>
              <w:left w:val="single" w:color="000000" w:sz="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11.5%</w:t>
            </w:r>
          </w:p>
        </w:tc>
        <w:tc>
          <w:tcPr>
            <w:tcW w:w="1376" w:type="dxa"/>
            <w:tcBorders>
              <w:top w:val="nil"/>
              <w:left w:val="single" w:color="000000" w:sz="8" w:space="0"/>
              <w:bottom w:val="single" w:color="auto" w:sz="6"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29.7%</w:t>
            </w:r>
          </w:p>
        </w:tc>
        <w:tc>
          <w:tcPr>
            <w:tcW w:w="954" w:type="dxa"/>
            <w:tcBorders>
              <w:top w:val="nil"/>
              <w:left w:val="single" w:color="000000" w:sz="8" w:space="0"/>
              <w:bottom w:val="single" w:color="auto" w:sz="6"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8" w:hRule="atLeast"/>
        </w:trPr>
        <w:tc>
          <w:tcPr>
            <w:tcW w:w="2270"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9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5.42 </w:t>
      </w:r>
      <w:r>
        <w:rPr>
          <w:rFonts w:hint="eastAsia" w:ascii="Times New Roman" w:hAnsi="Times New Roman" w:eastAsia="宋体" w:cs="Times New Roman"/>
          <w:sz w:val="21"/>
          <w:szCs w:val="21"/>
        </w:rPr>
        <w:t>管理部门守法程度</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6"/>
        <w:gridCol w:w="1585"/>
        <w:gridCol w:w="1276"/>
        <w:gridCol w:w="1185"/>
        <w:gridCol w:w="1373"/>
        <w:gridCol w:w="1373"/>
        <w:gridCol w:w="9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51" w:hRule="atLeast"/>
          <w:tblHeader/>
        </w:trPr>
        <w:tc>
          <w:tcPr>
            <w:tcW w:w="2271"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5207"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您认为《武汉市社会办养老福利机构管理办法》实施后的武汉市社会办养老福利机构管理部门守法程度有何变化？</w:t>
            </w:r>
          </w:p>
        </w:tc>
        <w:tc>
          <w:tcPr>
            <w:tcW w:w="95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2271"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大大提高</w:t>
            </w:r>
          </w:p>
        </w:tc>
        <w:tc>
          <w:tcPr>
            <w:tcW w:w="118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有所提高</w:t>
            </w:r>
          </w:p>
        </w:tc>
        <w:tc>
          <w:tcPr>
            <w:tcW w:w="137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变化不大</w:t>
            </w:r>
          </w:p>
        </w:tc>
        <w:tc>
          <w:tcPr>
            <w:tcW w:w="137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6" w:hRule="atLeast"/>
          <w:tblHeader/>
        </w:trPr>
        <w:tc>
          <w:tcPr>
            <w:tcW w:w="686"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5"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c>
          <w:tcPr>
            <w:tcW w:w="118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37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137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95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w:t>
            </w:r>
          </w:p>
        </w:tc>
        <w:tc>
          <w:tcPr>
            <w:tcW w:w="118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8.1%</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20.5%</w:t>
            </w:r>
          </w:p>
        </w:tc>
        <w:tc>
          <w:tcPr>
            <w:tcW w:w="118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23.9%</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28.9%</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39.7%</w:t>
            </w:r>
          </w:p>
        </w:tc>
        <w:tc>
          <w:tcPr>
            <w:tcW w:w="118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37.4%</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25.9%</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45.2%</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20.5%</w:t>
            </w:r>
          </w:p>
        </w:tc>
        <w:tc>
          <w:tcPr>
            <w:tcW w:w="118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13.8%</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9.6%</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25.0%</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6" w:hRule="atLeast"/>
        </w:trPr>
        <w:tc>
          <w:tcPr>
            <w:tcW w:w="2271"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8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5.43 </w:t>
      </w:r>
      <w:r>
        <w:rPr>
          <w:rFonts w:hint="eastAsia" w:ascii="Times New Roman" w:hAnsi="Times New Roman" w:eastAsia="宋体" w:cs="Times New Roman"/>
          <w:sz w:val="21"/>
          <w:szCs w:val="21"/>
        </w:rPr>
        <w:t>相关从业人员守法程度</w:t>
      </w:r>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6"/>
        <w:gridCol w:w="1580"/>
        <w:gridCol w:w="1275"/>
        <w:gridCol w:w="1198"/>
        <w:gridCol w:w="1376"/>
        <w:gridCol w:w="1376"/>
        <w:gridCol w:w="9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35" w:hRule="atLeast"/>
          <w:tblHeader/>
        </w:trPr>
        <w:tc>
          <w:tcPr>
            <w:tcW w:w="2266"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225"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您认为《武汉市社会办养老福利机构管理办法》实施后的武汉市社会办养老福利机构相关从业人员守法程度有何变化？</w:t>
            </w:r>
          </w:p>
        </w:tc>
        <w:tc>
          <w:tcPr>
            <w:tcW w:w="95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2266"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5"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大大提高</w:t>
            </w:r>
          </w:p>
        </w:tc>
        <w:tc>
          <w:tcPr>
            <w:tcW w:w="119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有所提高</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变化不大</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4" w:hRule="atLeast"/>
          <w:tblHeader/>
        </w:trPr>
        <w:tc>
          <w:tcPr>
            <w:tcW w:w="686"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0"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5"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19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12.1%</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17.6%</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w:t>
            </w:r>
          </w:p>
        </w:tc>
        <w:tc>
          <w:tcPr>
            <w:tcW w:w="95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w:t>
            </w:r>
          </w:p>
        </w:tc>
        <w:tc>
          <w:tcPr>
            <w:tcW w:w="119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14.7%</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12.1%</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7.8%</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20.5%</w:t>
            </w:r>
          </w:p>
        </w:tc>
        <w:tc>
          <w:tcPr>
            <w:tcW w:w="119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22.9%</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29.6%</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45.8%</w:t>
            </w:r>
          </w:p>
        </w:tc>
        <w:tc>
          <w:tcPr>
            <w:tcW w:w="119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30.7%</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39.5%</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10.8%</w:t>
            </w:r>
          </w:p>
        </w:tc>
        <w:tc>
          <w:tcPr>
            <w:tcW w:w="119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14.9%</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26.4%</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1" w:hRule="atLeast"/>
        </w:trPr>
        <w:tc>
          <w:tcPr>
            <w:tcW w:w="2266"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5"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9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5.44 </w:t>
      </w:r>
      <w:r>
        <w:rPr>
          <w:rFonts w:hint="eastAsia" w:ascii="Times New Roman" w:hAnsi="Times New Roman" w:eastAsia="宋体" w:cs="Times New Roman"/>
          <w:sz w:val="21"/>
          <w:szCs w:val="21"/>
        </w:rPr>
        <w:t>监管部门及执法人员执法情况</w:t>
      </w:r>
    </w:p>
    <w:tbl>
      <w:tblPr>
        <w:tblStyle w:val="21"/>
        <w:tblW w:w="849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91"/>
        <w:gridCol w:w="1446"/>
        <w:gridCol w:w="1246"/>
        <w:gridCol w:w="1381"/>
        <w:gridCol w:w="1383"/>
        <w:gridCol w:w="1384"/>
        <w:gridCol w:w="95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53" w:hRule="atLeast"/>
          <w:tblHeader/>
        </w:trPr>
        <w:tc>
          <w:tcPr>
            <w:tcW w:w="2137"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394"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您对武汉市社会办养老福利机构监管部门及其执法人员的执法情况是否满意？</w:t>
            </w:r>
          </w:p>
        </w:tc>
        <w:tc>
          <w:tcPr>
            <w:tcW w:w="959"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2137"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4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非常满意</w:t>
            </w:r>
          </w:p>
        </w:tc>
        <w:tc>
          <w:tcPr>
            <w:tcW w:w="1381"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满意</w:t>
            </w:r>
          </w:p>
        </w:tc>
        <w:tc>
          <w:tcPr>
            <w:tcW w:w="138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不满意</w:t>
            </w:r>
          </w:p>
        </w:tc>
        <w:tc>
          <w:tcPr>
            <w:tcW w:w="138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9"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8" w:hRule="atLeast"/>
          <w:tblHeader/>
        </w:trPr>
        <w:tc>
          <w:tcPr>
            <w:tcW w:w="691"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446"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4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38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138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38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c>
          <w:tcPr>
            <w:tcW w:w="959"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91"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4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7.6%</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138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c>
          <w:tcPr>
            <w:tcW w:w="13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8.5%</w:t>
            </w:r>
          </w:p>
        </w:tc>
        <w:tc>
          <w:tcPr>
            <w:tcW w:w="95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91"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4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21.5%</w:t>
            </w:r>
          </w:p>
        </w:tc>
        <w:tc>
          <w:tcPr>
            <w:tcW w:w="138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29.7%</w:t>
            </w:r>
          </w:p>
        </w:tc>
        <w:tc>
          <w:tcPr>
            <w:tcW w:w="13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21.8%</w:t>
            </w:r>
          </w:p>
        </w:tc>
        <w:tc>
          <w:tcPr>
            <w:tcW w:w="95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91"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4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36.4%</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41.4%</w:t>
            </w:r>
          </w:p>
        </w:tc>
        <w:tc>
          <w:tcPr>
            <w:tcW w:w="138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27.6%</w:t>
            </w:r>
          </w:p>
        </w:tc>
        <w:tc>
          <w:tcPr>
            <w:tcW w:w="13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35.1%</w:t>
            </w:r>
          </w:p>
        </w:tc>
        <w:tc>
          <w:tcPr>
            <w:tcW w:w="95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5" w:hRule="atLeast"/>
          <w:tblHeader/>
        </w:trPr>
        <w:tc>
          <w:tcPr>
            <w:tcW w:w="691"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4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22.7%</w:t>
            </w:r>
          </w:p>
        </w:tc>
        <w:tc>
          <w:tcPr>
            <w:tcW w:w="138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c>
          <w:tcPr>
            <w:tcW w:w="138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7.8%</w:t>
            </w:r>
          </w:p>
        </w:tc>
        <w:tc>
          <w:tcPr>
            <w:tcW w:w="138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24.6%</w:t>
            </w:r>
          </w:p>
        </w:tc>
        <w:tc>
          <w:tcPr>
            <w:tcW w:w="959"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8" w:hRule="atLeast"/>
        </w:trPr>
        <w:tc>
          <w:tcPr>
            <w:tcW w:w="2137"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4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9"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5.45 </w:t>
      </w:r>
      <w:r>
        <w:rPr>
          <w:rFonts w:hint="eastAsia" w:ascii="Times New Roman" w:hAnsi="Times New Roman" w:eastAsia="宋体" w:cs="Times New Roman"/>
          <w:sz w:val="21"/>
          <w:szCs w:val="21"/>
        </w:rPr>
        <w:t>监管部门及执法人员执法检查方式合理情况</w:t>
      </w:r>
    </w:p>
    <w:tbl>
      <w:tblPr>
        <w:tblStyle w:val="21"/>
        <w:tblW w:w="846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6"/>
        <w:gridCol w:w="1581"/>
        <w:gridCol w:w="1276"/>
        <w:gridCol w:w="1203"/>
        <w:gridCol w:w="1378"/>
        <w:gridCol w:w="1380"/>
        <w:gridCol w:w="95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41" w:hRule="atLeast"/>
          <w:tblHeader/>
        </w:trPr>
        <w:tc>
          <w:tcPr>
            <w:tcW w:w="2267"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237"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您认为社会办养老福利机构监管部门及其执法人员在进行执法检查时，检查方式是否合理？</w:t>
            </w:r>
          </w:p>
        </w:tc>
        <w:tc>
          <w:tcPr>
            <w:tcW w:w="956"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2267"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76"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合理</w:t>
            </w:r>
          </w:p>
        </w:tc>
        <w:tc>
          <w:tcPr>
            <w:tcW w:w="120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不够合理</w:t>
            </w:r>
          </w:p>
        </w:tc>
        <w:tc>
          <w:tcPr>
            <w:tcW w:w="137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不合理</w:t>
            </w:r>
          </w:p>
        </w:tc>
        <w:tc>
          <w:tcPr>
            <w:tcW w:w="1380"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6"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4" w:hRule="atLeast"/>
          <w:tblHeader/>
        </w:trPr>
        <w:tc>
          <w:tcPr>
            <w:tcW w:w="686"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581"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76"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120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137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15.5%</w:t>
            </w:r>
          </w:p>
        </w:tc>
        <w:tc>
          <w:tcPr>
            <w:tcW w:w="138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c>
          <w:tcPr>
            <w:tcW w:w="956"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1"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10.6%</w:t>
            </w:r>
          </w:p>
        </w:tc>
        <w:tc>
          <w:tcPr>
            <w:tcW w:w="120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17.3%</w:t>
            </w:r>
          </w:p>
        </w:tc>
        <w:tc>
          <w:tcPr>
            <w:tcW w:w="137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11.7%</w:t>
            </w:r>
          </w:p>
        </w:tc>
        <w:tc>
          <w:tcPr>
            <w:tcW w:w="138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8.2%</w:t>
            </w:r>
          </w:p>
        </w:tc>
        <w:tc>
          <w:tcPr>
            <w:tcW w:w="95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1"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20.4%</w:t>
            </w:r>
          </w:p>
        </w:tc>
        <w:tc>
          <w:tcPr>
            <w:tcW w:w="120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18.7%</w:t>
            </w:r>
          </w:p>
        </w:tc>
        <w:tc>
          <w:tcPr>
            <w:tcW w:w="137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38.8%</w:t>
            </w:r>
          </w:p>
        </w:tc>
        <w:tc>
          <w:tcPr>
            <w:tcW w:w="138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23.0%</w:t>
            </w:r>
          </w:p>
        </w:tc>
        <w:tc>
          <w:tcPr>
            <w:tcW w:w="95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1"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38.5%</w:t>
            </w:r>
          </w:p>
        </w:tc>
        <w:tc>
          <w:tcPr>
            <w:tcW w:w="120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32.7%</w:t>
            </w:r>
          </w:p>
        </w:tc>
        <w:tc>
          <w:tcPr>
            <w:tcW w:w="137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27.2%</w:t>
            </w:r>
          </w:p>
        </w:tc>
        <w:tc>
          <w:tcPr>
            <w:tcW w:w="138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40.1%</w:t>
            </w:r>
          </w:p>
        </w:tc>
        <w:tc>
          <w:tcPr>
            <w:tcW w:w="95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2"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581"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76"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13.7%</w:t>
            </w:r>
          </w:p>
        </w:tc>
        <w:tc>
          <w:tcPr>
            <w:tcW w:w="120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37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6.8%</w:t>
            </w:r>
          </w:p>
        </w:tc>
        <w:tc>
          <w:tcPr>
            <w:tcW w:w="138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17.5%</w:t>
            </w:r>
          </w:p>
        </w:tc>
        <w:tc>
          <w:tcPr>
            <w:tcW w:w="956"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0" w:hRule="atLeast"/>
        </w:trPr>
        <w:tc>
          <w:tcPr>
            <w:tcW w:w="2267"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76"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0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8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6"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80" w:firstLineChars="200"/>
        <w:rPr>
          <w:rFonts w:ascii="Times New Roman" w:hAnsi="Times New Roman" w:eastAsia="宋体" w:cs="Times New Roman"/>
          <w:sz w:val="32"/>
          <w:szCs w:val="21"/>
        </w:rPr>
      </w:pPr>
      <w:r>
        <w:rPr>
          <w:rFonts w:hint="eastAsia" w:ascii="Times New Roman" w:hAnsi="Times New Roman" w:eastAsia="宋体" w:cs="Times New Roman"/>
          <w:szCs w:val="21"/>
        </w:rPr>
        <w:t>从以上表可以看出，初中以下学历的工作对意识作用提高情况、监管部门及执法人员执法情况以及检查情况这三方面的认可程度不高；高中学历的公众对管理部门守法程度、监管部门及执法人员执法情况以及检查情况认可程度较低；中专或大专学历的公众以及大学本科学历的公众对监管部门及执法人员执法情况以及检查情况认可均程度不高；大学本科以上学历的公众仅对监管部门及执法人员检查情况认可程度较低。综上，从学历的角度分析，该办法执行情况的公众认可程度与学历的高低呈现正相关的关系，针对较低学历公众的《武汉市社会办养老福利机构管理办法》执行力度和方法需要改进和提高。</w:t>
      </w:r>
    </w:p>
    <w:p>
      <w:pPr>
        <w:spacing w:line="300" w:lineRule="auto"/>
        <w:ind w:firstLine="480" w:firstLineChars="200"/>
      </w:pPr>
      <w:r>
        <w:t>2.</w:t>
      </w:r>
      <w:r>
        <w:rPr>
          <w:rFonts w:hint="eastAsia"/>
        </w:rPr>
        <w:t>制度建设情况</w:t>
      </w:r>
    </w:p>
    <w:p>
      <w:pPr>
        <w:spacing w:line="300" w:lineRule="auto"/>
        <w:ind w:firstLine="480" w:firstLineChars="200"/>
      </w:pPr>
      <w:r>
        <w:rPr>
          <w:rFonts w:hint="eastAsia"/>
        </w:rPr>
        <w:t>第一，整体分析</w:t>
      </w:r>
    </w:p>
    <w:p>
      <w:pPr>
        <w:spacing w:line="300" w:lineRule="auto"/>
        <w:ind w:firstLine="480" w:firstLineChars="200"/>
      </w:pPr>
      <w:r>
        <w:rPr>
          <w:rFonts w:hint="eastAsia"/>
        </w:rPr>
        <w:t>在此部分的调查中我们认为只要样本给出的选择在较好的程度以上时，就视为公众对该办法的制度建设情况是得到公众认可和满意的，从侧面说明该制度的建设能够进行有效的实施，达到了其立法目的；而其他的选项则视为不认可，即该办法中涉及此次调查问卷的第九条规定、第十六条规定、第二十七条规定及第三十四条规定的建设在公众的认知中并没有发挥其应当发挥的作用，没有得到公众的认可。选取四个法条分别代表对四个问题的考察，分别是针对基本措施、机构设立、运营规范及监督管理问题进行的考察。</w:t>
      </w:r>
    </w:p>
    <w:p>
      <w:pPr>
        <w:spacing w:line="300" w:lineRule="auto"/>
        <w:ind w:firstLine="480" w:firstLineChars="200"/>
      </w:pPr>
      <w:r>
        <w:rPr>
          <w:rFonts w:hint="eastAsia"/>
        </w:rPr>
        <w:t>第九条规定的实施效果中，认为实施效果很好的人有</w:t>
      </w:r>
      <w:r>
        <w:t>80</w:t>
      </w:r>
      <w:r>
        <w:rPr>
          <w:rFonts w:hint="eastAsia"/>
        </w:rPr>
        <w:t>人，占总样本人数的</w:t>
      </w:r>
      <w:r>
        <w:t>10.0%</w:t>
      </w:r>
      <w:r>
        <w:rPr>
          <w:rFonts w:hint="eastAsia"/>
        </w:rPr>
        <w:t>；认为实施效果较好的人有</w:t>
      </w:r>
      <w:r>
        <w:t>366</w:t>
      </w:r>
      <w:r>
        <w:rPr>
          <w:rFonts w:hint="eastAsia"/>
        </w:rPr>
        <w:t>人，占总样本人数的</w:t>
      </w:r>
      <w:r>
        <w:t>45.8%</w:t>
      </w:r>
      <w:r>
        <w:rPr>
          <w:rFonts w:hint="eastAsia"/>
        </w:rPr>
        <w:t>；认为实施效果不理想的人有</w:t>
      </w:r>
      <w:r>
        <w:t>210</w:t>
      </w:r>
      <w:r>
        <w:rPr>
          <w:rFonts w:hint="eastAsia"/>
        </w:rPr>
        <w:t>人，占总样本人数的</w:t>
      </w:r>
      <w:r>
        <w:t>26.3%</w:t>
      </w:r>
      <w:r>
        <w:rPr>
          <w:rFonts w:hint="eastAsia"/>
        </w:rPr>
        <w:t>，不清楚的有</w:t>
      </w:r>
      <w:r>
        <w:t>144</w:t>
      </w:r>
      <w:r>
        <w:rPr>
          <w:rFonts w:hint="eastAsia"/>
        </w:rPr>
        <w:t>人，占总样本人数的</w:t>
      </w:r>
      <w:r>
        <w:t>18.0%</w:t>
      </w:r>
      <w:r>
        <w:rPr>
          <w:rFonts w:hint="eastAsia"/>
        </w:rPr>
        <w:t>，如下表所示。</w:t>
      </w:r>
    </w:p>
    <w:tbl>
      <w:tblPr>
        <w:tblStyle w:val="21"/>
        <w:tblW w:w="5790" w:type="dxa"/>
        <w:tblInd w:w="129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
        <w:gridCol w:w="1089"/>
        <w:gridCol w:w="19"/>
        <w:gridCol w:w="1081"/>
        <w:gridCol w:w="19"/>
        <w:gridCol w:w="999"/>
        <w:gridCol w:w="19"/>
        <w:gridCol w:w="1252"/>
        <w:gridCol w:w="19"/>
        <w:gridCol w:w="12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790" w:type="dxa"/>
            <w:gridSpan w:val="10"/>
            <w:tcBorders>
              <w:top w:val="nil"/>
              <w:left w:val="nil"/>
              <w:bottom w:val="nil"/>
              <w:right w:val="nil"/>
            </w:tcBorders>
            <w:shd w:val="clear" w:color="auto" w:fill="FFFFFF"/>
            <w:vAlign w:val="center"/>
          </w:tcPr>
          <w:p>
            <w:pPr>
              <w:autoSpaceDE w:val="0"/>
              <w:autoSpaceDN w:val="0"/>
              <w:adjustRightInd w:val="0"/>
              <w:spacing w:line="300" w:lineRule="auto"/>
              <w:ind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 xml:space="preserve">5.46 </w:t>
            </w:r>
            <w:r>
              <w:rPr>
                <w:rFonts w:hint="eastAsia" w:ascii="Times New Roman" w:hAnsi="Times New Roman" w:eastAsia="宋体" w:cs="Times New Roman"/>
                <w:bCs/>
                <w:kern w:val="0"/>
                <w:sz w:val="21"/>
                <w:szCs w:val="21"/>
              </w:rPr>
              <w:t>《武汉市社会办养老福利机构管理办法》第九条规定实施效果如何？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32"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1100" w:type="dxa"/>
            <w:gridSpan w:val="2"/>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018" w:type="dxa"/>
            <w:gridSpan w:val="2"/>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1" w:type="dxa"/>
            <w:gridSpan w:val="2"/>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269" w:type="dxa"/>
            <w:gridSpan w:val="2"/>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p>
        </w:tc>
        <w:tc>
          <w:tcPr>
            <w:tcW w:w="1108" w:type="dxa"/>
            <w:gridSpan w:val="2"/>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很好</w:t>
            </w:r>
          </w:p>
        </w:tc>
        <w:tc>
          <w:tcPr>
            <w:tcW w:w="1100" w:type="dxa"/>
            <w:gridSpan w:val="2"/>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w:t>
            </w:r>
          </w:p>
        </w:tc>
        <w:tc>
          <w:tcPr>
            <w:tcW w:w="1018" w:type="dxa"/>
            <w:gridSpan w:val="2"/>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c>
          <w:tcPr>
            <w:tcW w:w="1271" w:type="dxa"/>
            <w:gridSpan w:val="2"/>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c>
          <w:tcPr>
            <w:tcW w:w="1250"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08" w:type="dxa"/>
            <w:gridSpan w:val="2"/>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较好</w:t>
            </w:r>
          </w:p>
        </w:tc>
        <w:tc>
          <w:tcPr>
            <w:tcW w:w="1100"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366</w:t>
            </w:r>
          </w:p>
        </w:tc>
        <w:tc>
          <w:tcPr>
            <w:tcW w:w="1018"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45.8</w:t>
            </w:r>
          </w:p>
        </w:tc>
        <w:tc>
          <w:tcPr>
            <w:tcW w:w="1271"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45.8</w:t>
            </w:r>
          </w:p>
        </w:tc>
        <w:tc>
          <w:tcPr>
            <w:tcW w:w="125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08" w:type="dxa"/>
            <w:gridSpan w:val="2"/>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不理想</w:t>
            </w:r>
          </w:p>
        </w:tc>
        <w:tc>
          <w:tcPr>
            <w:tcW w:w="1100"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1018"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26.3</w:t>
            </w:r>
          </w:p>
        </w:tc>
        <w:tc>
          <w:tcPr>
            <w:tcW w:w="1271"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26.3</w:t>
            </w:r>
          </w:p>
        </w:tc>
        <w:tc>
          <w:tcPr>
            <w:tcW w:w="125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08" w:type="dxa"/>
            <w:gridSpan w:val="2"/>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100" w:type="dxa"/>
            <w:gridSpan w:val="2"/>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144</w:t>
            </w:r>
          </w:p>
        </w:tc>
        <w:tc>
          <w:tcPr>
            <w:tcW w:w="1018"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18.0</w:t>
            </w:r>
          </w:p>
        </w:tc>
        <w:tc>
          <w:tcPr>
            <w:tcW w:w="1271" w:type="dxa"/>
            <w:gridSpan w:val="2"/>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18.0</w:t>
            </w:r>
          </w:p>
        </w:tc>
        <w:tc>
          <w:tcPr>
            <w:tcW w:w="125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3"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1108" w:type="dxa"/>
            <w:gridSpan w:val="2"/>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100" w:type="dxa"/>
            <w:gridSpan w:val="2"/>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018" w:type="dxa"/>
            <w:gridSpan w:val="2"/>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1" w:type="dxa"/>
            <w:gridSpan w:val="2"/>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50"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spacing w:line="300" w:lineRule="auto"/>
        <w:rPr>
          <w:rFonts w:ascii="Times New Roman" w:hAnsi="Times New Roman" w:eastAsia="宋体" w:cs="Times New Roman"/>
          <w:szCs w:val="21"/>
        </w:rPr>
      </w:pPr>
    </w:p>
    <w:p>
      <w:pPr>
        <w:autoSpaceDE w:val="0"/>
        <w:autoSpaceDN w:val="0"/>
        <w:adjustRightInd w:val="0"/>
        <w:spacing w:line="300" w:lineRule="auto"/>
        <w:ind w:firstLine="480" w:firstLineChars="200"/>
        <w:jc w:val="left"/>
        <w:rPr>
          <w:rFonts w:ascii="Times New Roman" w:hAnsi="Times New Roman" w:eastAsia="宋体" w:cs="Times New Roman"/>
          <w:kern w:val="0"/>
          <w:szCs w:val="21"/>
        </w:rPr>
      </w:pPr>
      <w:r>
        <w:rPr>
          <w:rFonts w:hint="eastAsia" w:ascii="Times New Roman" w:hAnsi="Times New Roman" w:eastAsia="宋体" w:cs="Times New Roman"/>
          <w:szCs w:val="21"/>
        </w:rPr>
        <w:t>第十六条规定的实施效果中，认为</w:t>
      </w:r>
      <w:r>
        <w:rPr>
          <w:rFonts w:hint="eastAsia" w:ascii="Times New Roman" w:hAnsi="Times New Roman" w:eastAsia="宋体" w:cs="Times New Roman"/>
          <w:kern w:val="0"/>
          <w:szCs w:val="21"/>
        </w:rPr>
        <w:t>实施效果很好的人有</w:t>
      </w:r>
      <w:r>
        <w:rPr>
          <w:rFonts w:ascii="Times New Roman" w:hAnsi="Times New Roman" w:eastAsia="宋体" w:cs="Times New Roman"/>
          <w:kern w:val="0"/>
          <w:szCs w:val="21"/>
        </w:rPr>
        <w:t>90</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11.3%</w:t>
      </w:r>
      <w:r>
        <w:rPr>
          <w:rFonts w:hint="eastAsia" w:ascii="Times New Roman" w:hAnsi="Times New Roman" w:eastAsia="宋体" w:cs="Times New Roman"/>
          <w:szCs w:val="21"/>
        </w:rPr>
        <w:t>；认为实施效果较好的人有</w:t>
      </w:r>
      <w:r>
        <w:rPr>
          <w:rFonts w:ascii="Times New Roman" w:hAnsi="Times New Roman" w:eastAsia="宋体" w:cs="Times New Roman"/>
          <w:szCs w:val="21"/>
        </w:rPr>
        <w:t>414</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51.8%</w:t>
      </w:r>
      <w:r>
        <w:rPr>
          <w:rFonts w:hint="eastAsia" w:ascii="Times New Roman" w:hAnsi="Times New Roman" w:eastAsia="宋体" w:cs="Times New Roman"/>
          <w:szCs w:val="21"/>
        </w:rPr>
        <w:t>；认为实施效果不理想的人有</w:t>
      </w:r>
      <w:r>
        <w:rPr>
          <w:rFonts w:ascii="Times New Roman" w:hAnsi="Times New Roman" w:eastAsia="宋体" w:cs="Times New Roman"/>
          <w:szCs w:val="21"/>
        </w:rPr>
        <w:t>154</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19.3%</w:t>
      </w:r>
      <w:r>
        <w:rPr>
          <w:rFonts w:hint="eastAsia" w:ascii="Times New Roman" w:hAnsi="Times New Roman" w:eastAsia="宋体" w:cs="Times New Roman"/>
          <w:szCs w:val="21"/>
        </w:rPr>
        <w:t>，不清楚的有</w:t>
      </w:r>
      <w:r>
        <w:rPr>
          <w:rFonts w:ascii="Times New Roman" w:hAnsi="Times New Roman" w:eastAsia="宋体" w:cs="Times New Roman"/>
          <w:szCs w:val="21"/>
        </w:rPr>
        <w:t>142</w:t>
      </w:r>
      <w:r>
        <w:rPr>
          <w:rFonts w:hint="eastAsia" w:ascii="Times New Roman" w:hAnsi="Times New Roman" w:eastAsia="宋体" w:cs="Times New Roman"/>
          <w:szCs w:val="21"/>
        </w:rPr>
        <w:t>占总样本人数的</w:t>
      </w:r>
      <w:r>
        <w:rPr>
          <w:rFonts w:ascii="Times New Roman" w:hAnsi="Times New Roman" w:eastAsia="宋体" w:cs="Times New Roman"/>
          <w:szCs w:val="21"/>
        </w:rPr>
        <w:t>17.8%</w:t>
      </w:r>
      <w:r>
        <w:rPr>
          <w:rFonts w:hint="eastAsia" w:ascii="Times New Roman" w:hAnsi="Times New Roman" w:eastAsia="宋体" w:cs="Times New Roman"/>
          <w:szCs w:val="21"/>
        </w:rPr>
        <w:t>，如下表所示。</w:t>
      </w:r>
    </w:p>
    <w:tbl>
      <w:tblPr>
        <w:tblStyle w:val="21"/>
        <w:tblW w:w="5805" w:type="dxa"/>
        <w:tblInd w:w="1279"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5"/>
        <w:gridCol w:w="835"/>
        <w:gridCol w:w="1031"/>
        <w:gridCol w:w="990"/>
        <w:gridCol w:w="1214"/>
        <w:gridCol w:w="162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805" w:type="dxa"/>
            <w:gridSpan w:val="6"/>
            <w:tcBorders>
              <w:top w:val="nil"/>
              <w:left w:val="nil"/>
              <w:bottom w:val="nil"/>
              <w:right w:val="nil"/>
            </w:tcBorders>
            <w:shd w:val="clear" w:color="auto" w:fill="FFFFFF"/>
            <w:vAlign w:val="center"/>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5.47</w:t>
            </w:r>
            <w:r>
              <w:rPr>
                <w:rFonts w:hint="eastAsia" w:ascii="Times New Roman" w:hAnsi="Times New Roman" w:eastAsia="宋体" w:cs="Times New Roman"/>
                <w:bCs/>
                <w:kern w:val="0"/>
                <w:sz w:val="21"/>
                <w:szCs w:val="21"/>
              </w:rPr>
              <w:t>《武汉市社会办养老福利机构管理办法》第十六条规定实施效果如何</w:t>
            </w:r>
            <w:r>
              <w:rPr>
                <w:rFonts w:hint="eastAsia" w:ascii="Times New Roman" w:hAnsi="Times New Roman" w:eastAsia="宋体" w:cs="Times New Roman"/>
                <w:b/>
                <w:bCs/>
                <w:kern w:val="0"/>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950"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1031"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990"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1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620"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5"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p>
        </w:tc>
        <w:tc>
          <w:tcPr>
            <w:tcW w:w="835"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很好</w:t>
            </w:r>
          </w:p>
        </w:tc>
        <w:tc>
          <w:tcPr>
            <w:tcW w:w="1031"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90</w:t>
            </w:r>
          </w:p>
        </w:tc>
        <w:tc>
          <w:tcPr>
            <w:tcW w:w="99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c>
          <w:tcPr>
            <w:tcW w:w="121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c>
          <w:tcPr>
            <w:tcW w:w="1620"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5"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3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较好</w:t>
            </w:r>
          </w:p>
        </w:tc>
        <w:tc>
          <w:tcPr>
            <w:tcW w:w="1031"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414</w:t>
            </w:r>
          </w:p>
        </w:tc>
        <w:tc>
          <w:tcPr>
            <w:tcW w:w="990"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51.8</w:t>
            </w:r>
          </w:p>
        </w:tc>
        <w:tc>
          <w:tcPr>
            <w:tcW w:w="121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51.8</w:t>
            </w:r>
          </w:p>
        </w:tc>
        <w:tc>
          <w:tcPr>
            <w:tcW w:w="162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5"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3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不理想</w:t>
            </w:r>
          </w:p>
        </w:tc>
        <w:tc>
          <w:tcPr>
            <w:tcW w:w="1031"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154</w:t>
            </w:r>
          </w:p>
        </w:tc>
        <w:tc>
          <w:tcPr>
            <w:tcW w:w="990"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21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19.3</w:t>
            </w:r>
          </w:p>
        </w:tc>
        <w:tc>
          <w:tcPr>
            <w:tcW w:w="162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115"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3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31"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142</w:t>
            </w:r>
          </w:p>
        </w:tc>
        <w:tc>
          <w:tcPr>
            <w:tcW w:w="990"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21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1620"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115"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35" w:type="dxa"/>
            <w:tcBorders>
              <w:top w:val="nil"/>
              <w:left w:val="nil"/>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31"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99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1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620"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r>
    </w:tbl>
    <w:p>
      <w:pPr>
        <w:spacing w:line="300" w:lineRule="auto"/>
        <w:rPr>
          <w:rFonts w:ascii="Times New Roman" w:hAnsi="Times New Roman" w:eastAsia="宋体" w:cs="Times New Roman"/>
          <w:sz w:val="21"/>
          <w:szCs w:val="21"/>
        </w:rPr>
      </w:pPr>
    </w:p>
    <w:p>
      <w:pPr>
        <w:autoSpaceDE w:val="0"/>
        <w:autoSpaceDN w:val="0"/>
        <w:adjustRightInd w:val="0"/>
        <w:spacing w:line="300" w:lineRule="auto"/>
        <w:ind w:firstLine="480" w:firstLineChars="200"/>
        <w:jc w:val="left"/>
        <w:rPr>
          <w:rFonts w:ascii="Times New Roman" w:hAnsi="Times New Roman" w:eastAsia="宋体" w:cs="Times New Roman"/>
          <w:szCs w:val="21"/>
        </w:rPr>
      </w:pPr>
      <w:bookmarkStart w:id="20" w:name="OLE_LINK4"/>
      <w:r>
        <w:rPr>
          <w:rFonts w:hint="eastAsia" w:ascii="Times New Roman" w:hAnsi="Times New Roman" w:eastAsia="宋体" w:cs="Times New Roman"/>
          <w:szCs w:val="21"/>
        </w:rPr>
        <w:t>第二十七条规定的实施效果</w:t>
      </w:r>
      <w:bookmarkEnd w:id="20"/>
      <w:r>
        <w:rPr>
          <w:rFonts w:hint="eastAsia" w:ascii="Times New Roman" w:hAnsi="Times New Roman" w:eastAsia="宋体" w:cs="Times New Roman"/>
          <w:szCs w:val="21"/>
        </w:rPr>
        <w:t>中，认为</w:t>
      </w:r>
      <w:r>
        <w:rPr>
          <w:rFonts w:hint="eastAsia" w:ascii="Times New Roman" w:hAnsi="Times New Roman" w:eastAsia="宋体" w:cs="Times New Roman"/>
          <w:kern w:val="0"/>
          <w:szCs w:val="21"/>
        </w:rPr>
        <w:t>实施效果很好的人有</w:t>
      </w:r>
      <w:r>
        <w:rPr>
          <w:rFonts w:ascii="Times New Roman" w:hAnsi="Times New Roman" w:eastAsia="宋体" w:cs="Times New Roman"/>
          <w:kern w:val="0"/>
          <w:szCs w:val="21"/>
        </w:rPr>
        <w:t>101</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12.6%</w:t>
      </w:r>
      <w:r>
        <w:rPr>
          <w:rFonts w:hint="eastAsia" w:ascii="Times New Roman" w:hAnsi="Times New Roman" w:eastAsia="宋体" w:cs="Times New Roman"/>
          <w:szCs w:val="21"/>
        </w:rPr>
        <w:t>；认为实施效果较好的人有</w:t>
      </w:r>
      <w:r>
        <w:rPr>
          <w:rFonts w:ascii="Times New Roman" w:hAnsi="Times New Roman" w:eastAsia="宋体" w:cs="Times New Roman"/>
          <w:szCs w:val="21"/>
        </w:rPr>
        <w:t>338</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42.3%</w:t>
      </w:r>
      <w:r>
        <w:rPr>
          <w:rFonts w:hint="eastAsia" w:ascii="Times New Roman" w:hAnsi="Times New Roman" w:eastAsia="宋体" w:cs="Times New Roman"/>
          <w:szCs w:val="21"/>
        </w:rPr>
        <w:t>；认为实施效果不理想的人有</w:t>
      </w:r>
      <w:r>
        <w:rPr>
          <w:rFonts w:ascii="Times New Roman" w:hAnsi="Times New Roman" w:eastAsia="宋体" w:cs="Times New Roman"/>
          <w:szCs w:val="21"/>
        </w:rPr>
        <w:t>192</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24.0%</w:t>
      </w:r>
      <w:r>
        <w:rPr>
          <w:rFonts w:hint="eastAsia" w:ascii="Times New Roman" w:hAnsi="Times New Roman" w:eastAsia="宋体" w:cs="Times New Roman"/>
          <w:szCs w:val="21"/>
        </w:rPr>
        <w:t>，不清楚的有</w:t>
      </w:r>
      <w:r>
        <w:rPr>
          <w:rFonts w:ascii="Times New Roman" w:hAnsi="Times New Roman" w:eastAsia="宋体" w:cs="Times New Roman"/>
          <w:szCs w:val="21"/>
        </w:rPr>
        <w:t>169</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21.1%</w:t>
      </w:r>
      <w:r>
        <w:rPr>
          <w:rFonts w:hint="eastAsia" w:ascii="Times New Roman" w:hAnsi="Times New Roman" w:eastAsia="宋体" w:cs="Times New Roman"/>
          <w:szCs w:val="21"/>
        </w:rPr>
        <w:t>，如下表所示。</w:t>
      </w:r>
    </w:p>
    <w:tbl>
      <w:tblPr>
        <w:tblStyle w:val="21"/>
        <w:tblW w:w="6090" w:type="dxa"/>
        <w:tblInd w:w="97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59"/>
        <w:gridCol w:w="855"/>
        <w:gridCol w:w="1063"/>
        <w:gridCol w:w="997"/>
        <w:gridCol w:w="1275"/>
        <w:gridCol w:w="18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6090" w:type="dxa"/>
            <w:gridSpan w:val="6"/>
            <w:tcBorders>
              <w:top w:val="nil"/>
              <w:left w:val="nil"/>
              <w:bottom w:val="nil"/>
              <w:right w:val="nil"/>
            </w:tcBorders>
            <w:shd w:val="clear" w:color="auto" w:fill="FFFFFF"/>
            <w:vAlign w:val="center"/>
          </w:tcPr>
          <w:p>
            <w:pPr>
              <w:autoSpaceDE w:val="0"/>
              <w:autoSpaceDN w:val="0"/>
              <w:adjustRightInd w:val="0"/>
              <w:spacing w:line="276" w:lineRule="auto"/>
              <w:ind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5.48</w:t>
            </w:r>
            <w:r>
              <w:rPr>
                <w:rFonts w:hint="eastAsia" w:ascii="Times New Roman" w:hAnsi="Times New Roman" w:eastAsia="宋体" w:cs="Times New Roman"/>
                <w:bCs/>
                <w:kern w:val="0"/>
                <w:sz w:val="21"/>
                <w:szCs w:val="21"/>
              </w:rPr>
              <w:t>《武汉市社会办养老福利机构管理办法》第二十七条规定在本地区实施效果如何？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914"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c>
          <w:tcPr>
            <w:tcW w:w="1063"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997"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275"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841"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9"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p>
        </w:tc>
        <w:tc>
          <w:tcPr>
            <w:tcW w:w="855"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很好</w:t>
            </w:r>
          </w:p>
        </w:tc>
        <w:tc>
          <w:tcPr>
            <w:tcW w:w="1063"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101</w:t>
            </w:r>
          </w:p>
        </w:tc>
        <w:tc>
          <w:tcPr>
            <w:tcW w:w="99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c>
          <w:tcPr>
            <w:tcW w:w="127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c>
          <w:tcPr>
            <w:tcW w:w="1841"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9"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5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较好</w:t>
            </w:r>
          </w:p>
        </w:tc>
        <w:tc>
          <w:tcPr>
            <w:tcW w:w="1063"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338</w:t>
            </w:r>
          </w:p>
        </w:tc>
        <w:tc>
          <w:tcPr>
            <w:tcW w:w="997"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42.3</w:t>
            </w:r>
          </w:p>
        </w:tc>
        <w:tc>
          <w:tcPr>
            <w:tcW w:w="12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42.3</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9"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5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不理想</w:t>
            </w:r>
          </w:p>
        </w:tc>
        <w:tc>
          <w:tcPr>
            <w:tcW w:w="1063"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192</w:t>
            </w:r>
          </w:p>
        </w:tc>
        <w:tc>
          <w:tcPr>
            <w:tcW w:w="997"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w:t>
            </w:r>
          </w:p>
        </w:tc>
        <w:tc>
          <w:tcPr>
            <w:tcW w:w="12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24.0</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78.9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9"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55"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1063"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169</w:t>
            </w:r>
          </w:p>
        </w:tc>
        <w:tc>
          <w:tcPr>
            <w:tcW w:w="997"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127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21.1</w:t>
            </w:r>
          </w:p>
        </w:tc>
        <w:tc>
          <w:tcPr>
            <w:tcW w:w="1841"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59"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55" w:type="dxa"/>
            <w:tcBorders>
              <w:top w:val="nil"/>
              <w:left w:val="nil"/>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1063"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99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7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841"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276" w:lineRule="auto"/>
              <w:jc w:val="center"/>
              <w:rPr>
                <w:rFonts w:ascii="Times New Roman" w:hAnsi="Times New Roman" w:eastAsia="宋体" w:cs="Times New Roman"/>
                <w:kern w:val="0"/>
                <w:sz w:val="21"/>
                <w:szCs w:val="21"/>
              </w:rPr>
            </w:pPr>
          </w:p>
        </w:tc>
      </w:tr>
    </w:tbl>
    <w:p>
      <w:pPr>
        <w:spacing w:line="300" w:lineRule="auto"/>
        <w:rPr>
          <w:rFonts w:ascii="Times New Roman" w:hAnsi="Times New Roman" w:eastAsia="宋体" w:cs="Times New Roman"/>
          <w:sz w:val="21"/>
          <w:szCs w:val="21"/>
        </w:rPr>
      </w:pPr>
    </w:p>
    <w:p>
      <w:pPr>
        <w:autoSpaceDE w:val="0"/>
        <w:autoSpaceDN w:val="0"/>
        <w:adjustRightInd w:val="0"/>
        <w:spacing w:line="300" w:lineRule="auto"/>
        <w:ind w:firstLine="480" w:firstLineChars="200"/>
        <w:jc w:val="left"/>
        <w:rPr>
          <w:rFonts w:ascii="Times New Roman" w:hAnsi="Times New Roman" w:eastAsia="宋体" w:cs="Times New Roman"/>
          <w:szCs w:val="21"/>
        </w:rPr>
      </w:pPr>
      <w:r>
        <w:rPr>
          <w:rFonts w:hint="eastAsia" w:ascii="Times New Roman" w:hAnsi="Times New Roman" w:eastAsia="宋体" w:cs="Times New Roman"/>
          <w:szCs w:val="21"/>
        </w:rPr>
        <w:t>第三十四条规定的实施效果中，认为</w:t>
      </w:r>
      <w:r>
        <w:rPr>
          <w:rFonts w:hint="eastAsia" w:ascii="Times New Roman" w:hAnsi="Times New Roman" w:eastAsia="宋体" w:cs="Times New Roman"/>
          <w:kern w:val="0"/>
          <w:szCs w:val="21"/>
        </w:rPr>
        <w:t>实施效果很好的人有</w:t>
      </w:r>
      <w:r>
        <w:rPr>
          <w:rFonts w:ascii="Times New Roman" w:hAnsi="Times New Roman" w:eastAsia="宋体" w:cs="Times New Roman"/>
          <w:kern w:val="0"/>
          <w:szCs w:val="21"/>
        </w:rPr>
        <w:t>107</w:t>
      </w:r>
      <w:r>
        <w:rPr>
          <w:rFonts w:hint="eastAsia" w:ascii="Times New Roman" w:hAnsi="Times New Roman" w:eastAsia="宋体" w:cs="Times New Roman"/>
          <w:kern w:val="0"/>
          <w:szCs w:val="21"/>
        </w:rPr>
        <w:t>人，</w:t>
      </w:r>
      <w:r>
        <w:rPr>
          <w:rFonts w:hint="eastAsia" w:ascii="Times New Roman" w:hAnsi="Times New Roman" w:eastAsia="宋体" w:cs="Times New Roman"/>
          <w:szCs w:val="21"/>
        </w:rPr>
        <w:t>占总样本人数的</w:t>
      </w:r>
      <w:r>
        <w:rPr>
          <w:rFonts w:ascii="Times New Roman" w:hAnsi="Times New Roman" w:eastAsia="宋体" w:cs="Times New Roman"/>
          <w:szCs w:val="21"/>
        </w:rPr>
        <w:t>13.4%</w:t>
      </w:r>
      <w:r>
        <w:rPr>
          <w:rFonts w:hint="eastAsia" w:ascii="Times New Roman" w:hAnsi="Times New Roman" w:eastAsia="宋体" w:cs="Times New Roman"/>
          <w:szCs w:val="21"/>
        </w:rPr>
        <w:t>；认为实施效果较好的人有</w:t>
      </w:r>
      <w:r>
        <w:rPr>
          <w:rFonts w:ascii="Times New Roman" w:hAnsi="Times New Roman" w:eastAsia="宋体" w:cs="Times New Roman"/>
          <w:szCs w:val="21"/>
        </w:rPr>
        <w:t>291</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36.4%</w:t>
      </w:r>
      <w:r>
        <w:rPr>
          <w:rFonts w:hint="eastAsia" w:ascii="Times New Roman" w:hAnsi="Times New Roman" w:eastAsia="宋体" w:cs="Times New Roman"/>
          <w:szCs w:val="21"/>
        </w:rPr>
        <w:t>；认为实施效果不理想的人有</w:t>
      </w:r>
      <w:r>
        <w:rPr>
          <w:rFonts w:ascii="Times New Roman" w:hAnsi="Times New Roman" w:eastAsia="宋体" w:cs="Times New Roman"/>
          <w:szCs w:val="21"/>
        </w:rPr>
        <w:t>172</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21.5%</w:t>
      </w:r>
      <w:r>
        <w:rPr>
          <w:rFonts w:hint="eastAsia" w:ascii="Times New Roman" w:hAnsi="Times New Roman" w:eastAsia="宋体" w:cs="Times New Roman"/>
          <w:szCs w:val="21"/>
        </w:rPr>
        <w:t>，不清楚的有</w:t>
      </w:r>
      <w:r>
        <w:rPr>
          <w:rFonts w:ascii="Times New Roman" w:hAnsi="Times New Roman" w:eastAsia="宋体" w:cs="Times New Roman"/>
          <w:szCs w:val="21"/>
        </w:rPr>
        <w:t>230</w:t>
      </w:r>
      <w:r>
        <w:rPr>
          <w:rFonts w:hint="eastAsia" w:ascii="Times New Roman" w:hAnsi="Times New Roman" w:eastAsia="宋体" w:cs="Times New Roman"/>
          <w:szCs w:val="21"/>
        </w:rPr>
        <w:t>人，占总样本人数的</w:t>
      </w:r>
      <w:r>
        <w:rPr>
          <w:rFonts w:ascii="Times New Roman" w:hAnsi="Times New Roman" w:eastAsia="宋体" w:cs="Times New Roman"/>
          <w:szCs w:val="21"/>
        </w:rPr>
        <w:t>28.8%</w:t>
      </w:r>
      <w:r>
        <w:rPr>
          <w:rFonts w:hint="eastAsia" w:ascii="Times New Roman" w:hAnsi="Times New Roman" w:eastAsia="宋体" w:cs="Times New Roman"/>
          <w:szCs w:val="21"/>
        </w:rPr>
        <w:t>，如下表所示。</w:t>
      </w:r>
    </w:p>
    <w:tbl>
      <w:tblPr>
        <w:tblStyle w:val="21"/>
        <w:tblW w:w="5655" w:type="dxa"/>
        <w:tblInd w:w="101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
        <w:gridCol w:w="816"/>
        <w:gridCol w:w="961"/>
        <w:gridCol w:w="1104"/>
        <w:gridCol w:w="1312"/>
        <w:gridCol w:w="14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5655" w:type="dxa"/>
            <w:gridSpan w:val="6"/>
            <w:tcBorders>
              <w:top w:val="nil"/>
              <w:left w:val="nil"/>
              <w:bottom w:val="nil"/>
              <w:right w:val="nil"/>
            </w:tcBorders>
            <w:shd w:val="clear" w:color="auto" w:fill="FFFFFF"/>
            <w:vAlign w:val="center"/>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bCs/>
                <w:kern w:val="0"/>
                <w:sz w:val="21"/>
                <w:szCs w:val="21"/>
              </w:rPr>
              <w:t>表</w:t>
            </w:r>
            <w:r>
              <w:rPr>
                <w:rFonts w:ascii="Times New Roman" w:hAnsi="Times New Roman" w:eastAsia="宋体" w:cs="Times New Roman"/>
                <w:bCs/>
                <w:kern w:val="0"/>
                <w:sz w:val="21"/>
                <w:szCs w:val="21"/>
              </w:rPr>
              <w:t>5.49</w:t>
            </w:r>
            <w:r>
              <w:rPr>
                <w:rFonts w:hint="eastAsia" w:ascii="Times New Roman" w:hAnsi="Times New Roman" w:eastAsia="宋体" w:cs="Times New Roman"/>
                <w:bCs/>
                <w:kern w:val="0"/>
                <w:sz w:val="21"/>
                <w:szCs w:val="21"/>
              </w:rPr>
              <w:t>《武汉市社会办养老福利机构管理办法》第三十四条规定您认为该规定在本地区实施效果如何？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860" w:type="dxa"/>
            <w:gridSpan w:val="2"/>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961" w:type="dxa"/>
            <w:tcBorders>
              <w:top w:val="single" w:color="000000" w:sz="1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频率</w:t>
            </w:r>
          </w:p>
        </w:tc>
        <w:tc>
          <w:tcPr>
            <w:tcW w:w="1104"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百分比</w:t>
            </w:r>
          </w:p>
        </w:tc>
        <w:tc>
          <w:tcPr>
            <w:tcW w:w="1312" w:type="dxa"/>
            <w:tcBorders>
              <w:top w:val="single" w:color="000000" w:sz="1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有效百分比</w:t>
            </w:r>
          </w:p>
        </w:tc>
        <w:tc>
          <w:tcPr>
            <w:tcW w:w="1418" w:type="dxa"/>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累积百分比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restart"/>
            <w:tcBorders>
              <w:top w:val="single" w:color="000000" w:sz="18" w:space="0"/>
              <w:left w:val="single" w:color="000000" w:sz="18" w:space="0"/>
              <w:bottom w:val="single" w:color="000000" w:sz="18" w:space="0"/>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p>
        </w:tc>
        <w:tc>
          <w:tcPr>
            <w:tcW w:w="816"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很好</w:t>
            </w:r>
          </w:p>
        </w:tc>
        <w:tc>
          <w:tcPr>
            <w:tcW w:w="961"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107</w:t>
            </w:r>
          </w:p>
        </w:tc>
        <w:tc>
          <w:tcPr>
            <w:tcW w:w="110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c>
          <w:tcPr>
            <w:tcW w:w="131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c>
          <w:tcPr>
            <w:tcW w:w="141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1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较好</w:t>
            </w:r>
          </w:p>
        </w:tc>
        <w:tc>
          <w:tcPr>
            <w:tcW w:w="961"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291</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36.4</w:t>
            </w:r>
          </w:p>
        </w:tc>
        <w:tc>
          <w:tcPr>
            <w:tcW w:w="131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36.4</w:t>
            </w:r>
          </w:p>
        </w:tc>
        <w:tc>
          <w:tcPr>
            <w:tcW w:w="14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1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不理想</w:t>
            </w:r>
          </w:p>
        </w:tc>
        <w:tc>
          <w:tcPr>
            <w:tcW w:w="961"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172</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21.5</w:t>
            </w:r>
          </w:p>
        </w:tc>
        <w:tc>
          <w:tcPr>
            <w:tcW w:w="131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21.5</w:t>
            </w:r>
          </w:p>
        </w:tc>
        <w:tc>
          <w:tcPr>
            <w:tcW w:w="14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71.3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blHeader/>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1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不清楚</w:t>
            </w:r>
          </w:p>
        </w:tc>
        <w:tc>
          <w:tcPr>
            <w:tcW w:w="961"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230</w:t>
            </w:r>
          </w:p>
        </w:tc>
        <w:tc>
          <w:tcPr>
            <w:tcW w:w="110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31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41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Pr>
        <w:tc>
          <w:tcPr>
            <w:tcW w:w="44" w:type="dxa"/>
            <w:vMerge w:val="continue"/>
            <w:tcBorders>
              <w:top w:val="single" w:color="000000" w:sz="18" w:space="0"/>
              <w:left w:val="single" w:color="000000" w:sz="18" w:space="0"/>
              <w:bottom w:val="single" w:color="000000" w:sz="18" w:space="0"/>
              <w:right w:val="nil"/>
            </w:tcBorders>
            <w:vAlign w:val="center"/>
          </w:tcPr>
          <w:p>
            <w:pPr>
              <w:widowControl/>
              <w:jc w:val="left"/>
              <w:rPr>
                <w:rFonts w:ascii="Times New Roman" w:hAnsi="Times New Roman" w:eastAsia="宋体" w:cs="Times New Roman"/>
                <w:kern w:val="0"/>
                <w:sz w:val="21"/>
                <w:szCs w:val="21"/>
              </w:rPr>
            </w:pPr>
          </w:p>
        </w:tc>
        <w:tc>
          <w:tcPr>
            <w:tcW w:w="816" w:type="dxa"/>
            <w:tcBorders>
              <w:top w:val="nil"/>
              <w:left w:val="nil"/>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Times New Roman" w:eastAsia="宋体" w:cs="Times New Roman"/>
                <w:kern w:val="0"/>
                <w:sz w:val="21"/>
                <w:szCs w:val="21"/>
              </w:rPr>
              <w:t>合计</w:t>
            </w:r>
          </w:p>
        </w:tc>
        <w:tc>
          <w:tcPr>
            <w:tcW w:w="961"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800</w:t>
            </w:r>
          </w:p>
        </w:tc>
        <w:tc>
          <w:tcPr>
            <w:tcW w:w="110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1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18" w:type="dxa"/>
            <w:tcBorders>
              <w:top w:val="nil"/>
              <w:left w:val="single" w:color="000000" w:sz="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r>
    </w:tbl>
    <w:p>
      <w:pPr>
        <w:autoSpaceDE w:val="0"/>
        <w:autoSpaceDN w:val="0"/>
        <w:adjustRightInd w:val="0"/>
        <w:spacing w:line="300" w:lineRule="auto"/>
        <w:jc w:val="center"/>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kern w:val="0"/>
          <w:szCs w:val="21"/>
        </w:rPr>
      </w:pPr>
      <w:r>
        <w:rPr>
          <w:rFonts w:hint="eastAsia" w:ascii="Times New Roman" w:hAnsi="Times New Roman" w:eastAsia="宋体" w:cs="Times New Roman"/>
          <w:szCs w:val="21"/>
        </w:rPr>
        <w:t>整体来看，公众对于</w:t>
      </w:r>
      <w:r>
        <w:rPr>
          <w:rFonts w:hint="eastAsia" w:ascii="Times New Roman" w:hAnsi="Times New Roman" w:eastAsia="宋体" w:cs="Times New Roman"/>
          <w:kern w:val="0"/>
          <w:szCs w:val="21"/>
        </w:rPr>
        <w:t>《武汉市社会办养老福利机构管理办法》的制度建设情况认可程度较高，除了在对第三十四条规定的建设实施效果认可程度没有超过</w:t>
      </w:r>
      <w:r>
        <w:rPr>
          <w:rFonts w:ascii="Times New Roman" w:hAnsi="Times New Roman" w:eastAsia="宋体" w:cs="Times New Roman"/>
          <w:kern w:val="0"/>
          <w:szCs w:val="21"/>
        </w:rPr>
        <w:t>50%</w:t>
      </w:r>
      <w:r>
        <w:rPr>
          <w:rFonts w:hint="eastAsia" w:ascii="Times New Roman" w:hAnsi="Times New Roman" w:eastAsia="宋体" w:cs="Times New Roman"/>
          <w:kern w:val="0"/>
          <w:szCs w:val="21"/>
        </w:rPr>
        <w:t>，在其他规定实施效果方面的认可程度都超过了</w:t>
      </w:r>
      <w:r>
        <w:rPr>
          <w:rFonts w:ascii="Times New Roman" w:hAnsi="Times New Roman" w:eastAsia="宋体" w:cs="Times New Roman"/>
          <w:kern w:val="0"/>
          <w:szCs w:val="21"/>
        </w:rPr>
        <w:t>50%</w:t>
      </w:r>
      <w:r>
        <w:rPr>
          <w:rFonts w:hint="eastAsia" w:ascii="Times New Roman" w:hAnsi="Times New Roman" w:eastAsia="宋体" w:cs="Times New Roman"/>
          <w:kern w:val="0"/>
          <w:szCs w:val="21"/>
        </w:rPr>
        <w:t>，这就从侧面反映了该办法的制度建设情况较为合理，能够基本达到制度建设的效果的目的。</w:t>
      </w:r>
    </w:p>
    <w:p>
      <w:pPr>
        <w:spacing w:line="300" w:lineRule="auto"/>
        <w:ind w:firstLine="480" w:firstLineChars="200"/>
      </w:pPr>
      <w:r>
        <w:rPr>
          <w:rFonts w:hint="eastAsia"/>
        </w:rPr>
        <w:t>第二，差异化分析：</w:t>
      </w:r>
    </w:p>
    <w:p>
      <w:pPr>
        <w:spacing w:line="300" w:lineRule="auto"/>
        <w:ind w:firstLine="480" w:firstLineChars="200"/>
      </w:pPr>
      <w:r>
        <w:fldChar w:fldCharType="begin"/>
      </w:r>
      <w:r>
        <w:instrText xml:space="preserve"> = 1 \* GB3 </w:instrText>
      </w:r>
      <w:r>
        <w:fldChar w:fldCharType="separate"/>
      </w:r>
      <w:r>
        <w:rPr>
          <w:rFonts w:hint="eastAsia"/>
        </w:rPr>
        <w:t>①</w:t>
      </w:r>
      <w:r>
        <w:rPr>
          <w:rFonts w:hint="eastAsia"/>
        </w:rPr>
        <w:fldChar w:fldCharType="end"/>
      </w:r>
      <w:r>
        <w:rPr>
          <w:rFonts w:hint="eastAsia"/>
        </w:rPr>
        <w:t>年龄分析：</w:t>
      </w:r>
    </w:p>
    <w:p>
      <w:pPr>
        <w:spacing w:line="300" w:lineRule="auto"/>
        <w:jc w:val="center"/>
        <w:rPr>
          <w:rFonts w:ascii="Times New Roman" w:hAnsi="Times New Roman" w:cs="Times New Roman"/>
          <w:kern w:val="0"/>
          <w:sz w:val="21"/>
          <w:szCs w:val="21"/>
        </w:rPr>
      </w:pPr>
      <w:bookmarkStart w:id="21" w:name="_Hlk516251175"/>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5.50 </w:t>
      </w:r>
      <w:r>
        <w:rPr>
          <w:rFonts w:hint="eastAsia" w:ascii="Times New Roman" w:hAnsi="Times New Roman" w:eastAsia="宋体" w:cs="Times New Roman"/>
          <w:sz w:val="21"/>
          <w:szCs w:val="21"/>
        </w:rPr>
        <w:t>第九条规定</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29"/>
        <w:gridCol w:w="866"/>
        <w:gridCol w:w="1459"/>
        <w:gridCol w:w="1457"/>
        <w:gridCol w:w="1459"/>
        <w:gridCol w:w="1462"/>
        <w:gridCol w:w="9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40" w:hRule="atLeast"/>
          <w:tblHeader/>
        </w:trPr>
        <w:tc>
          <w:tcPr>
            <w:tcW w:w="1595"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37"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《武汉市社会办养老福利机构管理办法》第九条规定您认为该规定实施效果如何？</w:t>
            </w:r>
          </w:p>
        </w:tc>
        <w:tc>
          <w:tcPr>
            <w:tcW w:w="93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1595"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59"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45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45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46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3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3" w:hRule="atLeast"/>
          <w:tblHeader/>
        </w:trPr>
        <w:tc>
          <w:tcPr>
            <w:tcW w:w="729"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6"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59"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28.8%</w:t>
            </w:r>
          </w:p>
        </w:tc>
        <w:tc>
          <w:tcPr>
            <w:tcW w:w="145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37.4%</w:t>
            </w:r>
          </w:p>
        </w:tc>
        <w:tc>
          <w:tcPr>
            <w:tcW w:w="145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17.1%</w:t>
            </w:r>
          </w:p>
        </w:tc>
        <w:tc>
          <w:tcPr>
            <w:tcW w:w="146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47.2%</w:t>
            </w:r>
          </w:p>
        </w:tc>
        <w:tc>
          <w:tcPr>
            <w:tcW w:w="93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47.5%</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35.0%</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44.3%</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29.9%</w:t>
            </w:r>
          </w:p>
        </w:tc>
        <w:tc>
          <w:tcPr>
            <w:tcW w:w="93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11.3%</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20.8%</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22.9%</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16.0%</w:t>
            </w:r>
          </w:p>
        </w:tc>
        <w:tc>
          <w:tcPr>
            <w:tcW w:w="93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6"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6.8%</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15.7%</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6.9%</w:t>
            </w:r>
          </w:p>
        </w:tc>
        <w:tc>
          <w:tcPr>
            <w:tcW w:w="938"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3" w:hRule="atLeast"/>
        </w:trPr>
        <w:tc>
          <w:tcPr>
            <w:tcW w:w="1595"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59"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3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20" w:firstLineChars="200"/>
        <w:jc w:val="center"/>
        <w:rPr>
          <w:rFonts w:ascii="Times New Roman" w:hAnsi="Times New Roman" w:eastAsia="宋体" w:cs="Times New Roman"/>
          <w:sz w:val="21"/>
          <w:szCs w:val="21"/>
        </w:rPr>
      </w:pPr>
    </w:p>
    <w:p>
      <w:pPr>
        <w:spacing w:line="300" w:lineRule="auto"/>
        <w:ind w:firstLine="420" w:firstLineChars="20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5.51 </w:t>
      </w:r>
      <w:r>
        <w:rPr>
          <w:rFonts w:hint="eastAsia" w:ascii="Times New Roman" w:hAnsi="Times New Roman" w:eastAsia="宋体" w:cs="Times New Roman"/>
          <w:sz w:val="21"/>
          <w:szCs w:val="21"/>
        </w:rPr>
        <w:t>第十六条规定</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28"/>
        <w:gridCol w:w="864"/>
        <w:gridCol w:w="1459"/>
        <w:gridCol w:w="1457"/>
        <w:gridCol w:w="1459"/>
        <w:gridCol w:w="1459"/>
        <w:gridCol w:w="94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56" w:hRule="atLeast"/>
          <w:tblHeader/>
        </w:trPr>
        <w:tc>
          <w:tcPr>
            <w:tcW w:w="159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5834"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《武汉市社会办养老福利机构管理办法》第十六条规定您认为该规定实施效果如何？</w:t>
            </w:r>
          </w:p>
        </w:tc>
        <w:tc>
          <w:tcPr>
            <w:tcW w:w="94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6" w:hRule="atLeast"/>
          <w:tblHeader/>
        </w:trPr>
        <w:tc>
          <w:tcPr>
            <w:tcW w:w="159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59"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45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45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45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4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8" w:hRule="atLeast"/>
          <w:tblHeader/>
        </w:trPr>
        <w:tc>
          <w:tcPr>
            <w:tcW w:w="728"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4"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59"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43.3%</w:t>
            </w:r>
          </w:p>
        </w:tc>
        <w:tc>
          <w:tcPr>
            <w:tcW w:w="145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30.9%</w:t>
            </w:r>
          </w:p>
        </w:tc>
        <w:tc>
          <w:tcPr>
            <w:tcW w:w="145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45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45.1%</w:t>
            </w:r>
          </w:p>
        </w:tc>
        <w:tc>
          <w:tcPr>
            <w:tcW w:w="94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6" w:hRule="atLeast"/>
          <w:tblHeader/>
        </w:trPr>
        <w:tc>
          <w:tcPr>
            <w:tcW w:w="72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31.1%</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37.2%</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47.4%</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33.1%</w:t>
            </w:r>
          </w:p>
        </w:tc>
        <w:tc>
          <w:tcPr>
            <w:tcW w:w="94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6" w:hRule="atLeast"/>
          <w:tblHeader/>
        </w:trPr>
        <w:tc>
          <w:tcPr>
            <w:tcW w:w="72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20.3%</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22.1%</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16.2%</w:t>
            </w:r>
          </w:p>
        </w:tc>
        <w:tc>
          <w:tcPr>
            <w:tcW w:w="94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6" w:hRule="atLeast"/>
          <w:tblHeader/>
        </w:trPr>
        <w:tc>
          <w:tcPr>
            <w:tcW w:w="728"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59"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45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11.6%</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9.1%</w:t>
            </w:r>
          </w:p>
        </w:tc>
        <w:tc>
          <w:tcPr>
            <w:tcW w:w="145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5.6%</w:t>
            </w:r>
          </w:p>
        </w:tc>
        <w:tc>
          <w:tcPr>
            <w:tcW w:w="944"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8" w:hRule="atLeast"/>
        </w:trPr>
        <w:tc>
          <w:tcPr>
            <w:tcW w:w="159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59"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4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widowControl/>
        <w:jc w:val="left"/>
        <w:rPr>
          <w:rFonts w:ascii="Times New Roman" w:hAnsi="Times New Roman" w:eastAsia="宋体" w:cs="Times New Roman"/>
          <w:sz w:val="21"/>
          <w:szCs w:val="21"/>
        </w:rPr>
      </w:pPr>
    </w:p>
    <w:p>
      <w:pPr>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5.52 </w:t>
      </w:r>
      <w:r>
        <w:rPr>
          <w:rFonts w:hint="eastAsia" w:ascii="Times New Roman" w:hAnsi="Times New Roman" w:eastAsia="宋体" w:cs="Times New Roman"/>
          <w:sz w:val="21"/>
          <w:szCs w:val="21"/>
        </w:rPr>
        <w:t>第二十七条规定</w:t>
      </w:r>
    </w:p>
    <w:tbl>
      <w:tblPr>
        <w:tblStyle w:val="21"/>
        <w:tblW w:w="837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33"/>
        <w:gridCol w:w="869"/>
        <w:gridCol w:w="1467"/>
        <w:gridCol w:w="1465"/>
        <w:gridCol w:w="1467"/>
        <w:gridCol w:w="1469"/>
        <w:gridCol w:w="9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276" w:hRule="atLeast"/>
          <w:tblHeader/>
        </w:trPr>
        <w:tc>
          <w:tcPr>
            <w:tcW w:w="1602"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68"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《武汉市社会办养老福利机构管理办法》第二十七条规定：</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社会办养老福利机构的卫生技术、生活护理、财务、炊事等工作人员应当具有岗位技术等级或者执业技术资格证书和执业证书。</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您认为该规定在本地区实施效果如何？</w:t>
            </w:r>
          </w:p>
        </w:tc>
        <w:tc>
          <w:tcPr>
            <w:tcW w:w="900"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0" w:hRule="atLeast"/>
          <w:tblHeader/>
        </w:trPr>
        <w:tc>
          <w:tcPr>
            <w:tcW w:w="1602"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7"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46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467"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46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00"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3" w:hRule="atLeast"/>
          <w:tblHeader/>
        </w:trPr>
        <w:tc>
          <w:tcPr>
            <w:tcW w:w="733"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9"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7"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46.5%</w:t>
            </w:r>
          </w:p>
        </w:tc>
        <w:tc>
          <w:tcPr>
            <w:tcW w:w="146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32.5%</w:t>
            </w:r>
          </w:p>
        </w:tc>
        <w:tc>
          <w:tcPr>
            <w:tcW w:w="1467"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46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42.0%</w:t>
            </w:r>
          </w:p>
        </w:tc>
        <w:tc>
          <w:tcPr>
            <w:tcW w:w="900"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0" w:hRule="atLeas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27.7%</w:t>
            </w:r>
          </w:p>
        </w:tc>
        <w:tc>
          <w:tcPr>
            <w:tcW w:w="146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34.6%</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47.4%</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39.1%</w:t>
            </w:r>
          </w:p>
        </w:tc>
        <w:tc>
          <w:tcPr>
            <w:tcW w:w="90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0" w:hRule="atLeas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15.8%</w:t>
            </w:r>
          </w:p>
        </w:tc>
        <w:tc>
          <w:tcPr>
            <w:tcW w:w="146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21.9%</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21.9%</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14.2%</w:t>
            </w:r>
          </w:p>
        </w:tc>
        <w:tc>
          <w:tcPr>
            <w:tcW w:w="90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0" w:hRule="atLeast"/>
          <w:tblHeader/>
        </w:trPr>
        <w:tc>
          <w:tcPr>
            <w:tcW w:w="733"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9"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7"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9.9%</w:t>
            </w:r>
          </w:p>
        </w:tc>
        <w:tc>
          <w:tcPr>
            <w:tcW w:w="146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w:t>
            </w:r>
          </w:p>
        </w:tc>
        <w:tc>
          <w:tcPr>
            <w:tcW w:w="1467"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12.0%</w:t>
            </w:r>
          </w:p>
        </w:tc>
        <w:tc>
          <w:tcPr>
            <w:tcW w:w="146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w:t>
            </w:r>
          </w:p>
        </w:tc>
        <w:tc>
          <w:tcPr>
            <w:tcW w:w="900"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6" w:hRule="atLeast"/>
        </w:trPr>
        <w:tc>
          <w:tcPr>
            <w:tcW w:w="1602"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7"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7"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00"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5.53 </w:t>
      </w:r>
      <w:r>
        <w:rPr>
          <w:rFonts w:hint="eastAsia" w:ascii="Times New Roman" w:hAnsi="Times New Roman" w:eastAsia="宋体" w:cs="Times New Roman"/>
          <w:sz w:val="21"/>
          <w:szCs w:val="21"/>
        </w:rPr>
        <w:t>第三十四条规定</w:t>
      </w:r>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29"/>
        <w:gridCol w:w="864"/>
        <w:gridCol w:w="1460"/>
        <w:gridCol w:w="1458"/>
        <w:gridCol w:w="1460"/>
        <w:gridCol w:w="1462"/>
        <w:gridCol w:w="101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51" w:hRule="atLeast"/>
          <w:tblHeader/>
        </w:trPr>
        <w:tc>
          <w:tcPr>
            <w:tcW w:w="1593"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84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《武汉市社会办养老福利机构管理办法》第三十四条规定您认为该规定在本地区实施效果如何？</w:t>
            </w:r>
          </w:p>
        </w:tc>
        <w:tc>
          <w:tcPr>
            <w:tcW w:w="101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4" w:hRule="atLeast"/>
          <w:tblHeader/>
        </w:trPr>
        <w:tc>
          <w:tcPr>
            <w:tcW w:w="1593"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460"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45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460"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46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101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7" w:hRule="atLeast"/>
          <w:tblHeader/>
        </w:trPr>
        <w:tc>
          <w:tcPr>
            <w:tcW w:w="729"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年龄</w:t>
            </w:r>
          </w:p>
        </w:tc>
        <w:tc>
          <w:tcPr>
            <w:tcW w:w="864"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18-30</w:t>
            </w:r>
          </w:p>
        </w:tc>
        <w:tc>
          <w:tcPr>
            <w:tcW w:w="1460"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40.2%</w:t>
            </w:r>
          </w:p>
        </w:tc>
        <w:tc>
          <w:tcPr>
            <w:tcW w:w="145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36.8%</w:t>
            </w:r>
          </w:p>
        </w:tc>
        <w:tc>
          <w:tcPr>
            <w:tcW w:w="146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16.3%</w:t>
            </w:r>
          </w:p>
        </w:tc>
        <w:tc>
          <w:tcPr>
            <w:tcW w:w="146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37.4%</w:t>
            </w:r>
          </w:p>
        </w:tc>
        <w:tc>
          <w:tcPr>
            <w:tcW w:w="101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31-50</w:t>
            </w:r>
          </w:p>
        </w:tc>
        <w:tc>
          <w:tcPr>
            <w:tcW w:w="1460"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36.4%</w:t>
            </w:r>
          </w:p>
        </w:tc>
        <w:tc>
          <w:tcPr>
            <w:tcW w:w="145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34.7%</w:t>
            </w:r>
          </w:p>
        </w:tc>
        <w:tc>
          <w:tcPr>
            <w:tcW w:w="146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47.7%</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34.8%</w:t>
            </w:r>
          </w:p>
        </w:tc>
        <w:tc>
          <w:tcPr>
            <w:tcW w:w="101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51-60</w:t>
            </w:r>
          </w:p>
        </w:tc>
        <w:tc>
          <w:tcPr>
            <w:tcW w:w="1460"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c>
          <w:tcPr>
            <w:tcW w:w="145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146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20.3%</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19.6%</w:t>
            </w:r>
          </w:p>
        </w:tc>
        <w:tc>
          <w:tcPr>
            <w:tcW w:w="101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64" w:hRule="atLeast"/>
          <w:tblHeader/>
        </w:trPr>
        <w:tc>
          <w:tcPr>
            <w:tcW w:w="729"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8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ascii="Times New Roman" w:hAnsi="Times New Roman" w:eastAsia="宋体" w:cs="Times New Roman"/>
                <w:kern w:val="0"/>
                <w:sz w:val="21"/>
                <w:szCs w:val="21"/>
              </w:rPr>
              <w:t>61</w:t>
            </w:r>
            <w:r>
              <w:rPr>
                <w:rFonts w:hint="eastAsia" w:ascii="Times New Roman" w:hAnsi="宋体" w:eastAsia="宋体" w:cs="Times New Roman"/>
                <w:kern w:val="0"/>
                <w:sz w:val="21"/>
                <w:szCs w:val="21"/>
              </w:rPr>
              <w:t>以上</w:t>
            </w:r>
          </w:p>
        </w:tc>
        <w:tc>
          <w:tcPr>
            <w:tcW w:w="1460"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9.3%</w:t>
            </w:r>
          </w:p>
        </w:tc>
        <w:tc>
          <w:tcPr>
            <w:tcW w:w="1458"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7.6%</w:t>
            </w:r>
          </w:p>
        </w:tc>
        <w:tc>
          <w:tcPr>
            <w:tcW w:w="146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15.7%</w:t>
            </w:r>
          </w:p>
        </w:tc>
        <w:tc>
          <w:tcPr>
            <w:tcW w:w="146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c>
          <w:tcPr>
            <w:tcW w:w="101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7" w:hRule="atLeast"/>
        </w:trPr>
        <w:tc>
          <w:tcPr>
            <w:tcW w:w="1593"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460"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5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6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01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从上表中可以看出处于</w:t>
      </w:r>
      <w:r>
        <w:rPr>
          <w:rFonts w:ascii="Times New Roman" w:hAnsi="Times New Roman" w:eastAsia="宋体" w:cs="Times New Roman"/>
          <w:szCs w:val="21"/>
        </w:rPr>
        <w:t>18</w:t>
      </w:r>
      <w:r>
        <w:rPr>
          <w:rFonts w:hint="eastAsia" w:ascii="Times New Roman" w:hAnsi="Times New Roman" w:eastAsia="宋体" w:cs="Times New Roman"/>
          <w:szCs w:val="21"/>
        </w:rPr>
        <w:t>岁至</w:t>
      </w:r>
      <w:r>
        <w:rPr>
          <w:rFonts w:ascii="Times New Roman" w:hAnsi="Times New Roman" w:eastAsia="宋体" w:cs="Times New Roman"/>
          <w:szCs w:val="21"/>
        </w:rPr>
        <w:t>30</w:t>
      </w:r>
      <w:r>
        <w:rPr>
          <w:rFonts w:hint="eastAsia" w:ascii="Times New Roman" w:hAnsi="Times New Roman" w:eastAsia="宋体" w:cs="Times New Roman"/>
          <w:szCs w:val="21"/>
        </w:rPr>
        <w:t>岁这一年龄阶段的公众对该办法的制度建设实施效果认可程度较高；</w:t>
      </w:r>
      <w:r>
        <w:rPr>
          <w:rFonts w:ascii="Times New Roman" w:hAnsi="Times New Roman" w:eastAsia="宋体" w:cs="Times New Roman"/>
          <w:szCs w:val="21"/>
        </w:rPr>
        <w:t>31</w:t>
      </w:r>
      <w:r>
        <w:rPr>
          <w:rFonts w:hint="eastAsia" w:ascii="Times New Roman" w:hAnsi="Times New Roman" w:eastAsia="宋体" w:cs="Times New Roman"/>
          <w:szCs w:val="21"/>
        </w:rPr>
        <w:t>岁至</w:t>
      </w:r>
      <w:r>
        <w:rPr>
          <w:rFonts w:ascii="Times New Roman" w:hAnsi="Times New Roman" w:eastAsia="宋体" w:cs="Times New Roman"/>
          <w:szCs w:val="21"/>
        </w:rPr>
        <w:t>50</w:t>
      </w:r>
      <w:r>
        <w:rPr>
          <w:rFonts w:hint="eastAsia" w:ascii="Times New Roman" w:hAnsi="Times New Roman" w:eastAsia="宋体" w:cs="Times New Roman"/>
          <w:szCs w:val="21"/>
        </w:rPr>
        <w:t>岁的公众则对《办法》的运营规范以及监督管理问题的实施效果认可程度较低；处于</w:t>
      </w:r>
      <w:r>
        <w:rPr>
          <w:rFonts w:ascii="Times New Roman" w:hAnsi="Times New Roman" w:eastAsia="宋体" w:cs="Times New Roman"/>
          <w:szCs w:val="21"/>
        </w:rPr>
        <w:t>51</w:t>
      </w:r>
      <w:r>
        <w:rPr>
          <w:rFonts w:hint="eastAsia" w:ascii="Times New Roman" w:hAnsi="Times New Roman" w:eastAsia="宋体" w:cs="Times New Roman"/>
          <w:szCs w:val="21"/>
        </w:rPr>
        <w:t>岁至</w:t>
      </w:r>
      <w:r>
        <w:rPr>
          <w:rFonts w:ascii="Times New Roman" w:hAnsi="Times New Roman" w:eastAsia="宋体" w:cs="Times New Roman"/>
          <w:szCs w:val="21"/>
        </w:rPr>
        <w:t>60</w:t>
      </w:r>
      <w:r>
        <w:rPr>
          <w:rFonts w:hint="eastAsia" w:ascii="Times New Roman" w:hAnsi="Times New Roman" w:eastAsia="宋体" w:cs="Times New Roman"/>
          <w:szCs w:val="21"/>
        </w:rPr>
        <w:t>岁这一年龄阶段的公众仅对监督管理问题的实施效果认可程度较低；</w:t>
      </w:r>
      <w:r>
        <w:rPr>
          <w:rFonts w:ascii="Times New Roman" w:hAnsi="Times New Roman" w:eastAsia="宋体" w:cs="Times New Roman"/>
          <w:szCs w:val="21"/>
        </w:rPr>
        <w:t>61</w:t>
      </w:r>
      <w:r>
        <w:rPr>
          <w:rFonts w:hint="eastAsia" w:ascii="Times New Roman" w:hAnsi="Times New Roman" w:eastAsia="宋体" w:cs="Times New Roman"/>
          <w:szCs w:val="21"/>
        </w:rPr>
        <w:t>岁以上的公众对基本措施及监督管理问题的认可程度较低。这反映出在养老福利机构管理的制度建设中，监督管理问题需要进一步加强，尤其是针对老年人，更需重点落实监督管理问题，给予老年人更多权益保障。</w:t>
      </w:r>
    </w:p>
    <w:bookmarkEnd w:id="21"/>
    <w:p>
      <w:pPr>
        <w:spacing w:line="300" w:lineRule="auto"/>
        <w:ind w:firstLine="480" w:firstLineChars="200"/>
      </w:pPr>
      <w:r>
        <w:fldChar w:fldCharType="begin"/>
      </w:r>
      <w:r>
        <w:instrText xml:space="preserve"> = 3 \* GB3 </w:instrText>
      </w:r>
      <w:r>
        <w:fldChar w:fldCharType="separate"/>
      </w:r>
      <w:r>
        <w:rPr>
          <w:rFonts w:hint="eastAsia"/>
        </w:rPr>
        <w:t>③</w:t>
      </w:r>
      <w:r>
        <w:fldChar w:fldCharType="end"/>
      </w:r>
      <w:r>
        <w:rPr>
          <w:rFonts w:hint="eastAsia"/>
        </w:rPr>
        <w:t>职业分析：</w:t>
      </w:r>
      <w:bookmarkStart w:id="22" w:name="_Hlk516251950"/>
    </w:p>
    <w:p>
      <w:pPr>
        <w:widowControl/>
        <w:jc w:val="left"/>
        <w:rPr>
          <w:rFonts w:ascii="Times New Roman" w:hAnsi="Times New Roman" w:eastAsia="宋体" w:cs="Times New Roman"/>
          <w:sz w:val="21"/>
          <w:szCs w:val="21"/>
        </w:rPr>
      </w:pPr>
    </w:p>
    <w:p>
      <w:pPr>
        <w:spacing w:line="300" w:lineRule="auto"/>
        <w:ind w:firstLine="420" w:firstLineChars="20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5.54</w:t>
      </w:r>
      <w:r>
        <w:rPr>
          <w:rFonts w:hint="eastAsia" w:ascii="Times New Roman" w:hAnsi="Times New Roman" w:eastAsia="宋体" w:cs="Times New Roman"/>
          <w:sz w:val="21"/>
          <w:szCs w:val="21"/>
        </w:rPr>
        <w:t>第九条规定</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6"/>
        <w:gridCol w:w="2364"/>
        <w:gridCol w:w="1134"/>
        <w:gridCol w:w="1134"/>
        <w:gridCol w:w="1100"/>
        <w:gridCol w:w="1229"/>
        <w:gridCol w:w="85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07" w:hRule="atLeast"/>
          <w:tblHeader/>
        </w:trPr>
        <w:tc>
          <w:tcPr>
            <w:tcW w:w="2980"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300" w:lineRule="auto"/>
              <w:jc w:val="left"/>
              <w:rPr>
                <w:rFonts w:ascii="Times New Roman" w:hAnsi="Times New Roman" w:eastAsia="宋体" w:cs="Times New Roman"/>
                <w:kern w:val="0"/>
                <w:sz w:val="21"/>
                <w:szCs w:val="21"/>
              </w:rPr>
            </w:pPr>
          </w:p>
        </w:tc>
        <w:tc>
          <w:tcPr>
            <w:tcW w:w="4597"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《武汉市社会办养老福利机构管理办法》第九条规定您认为该规定实施效果如何？</w:t>
            </w:r>
          </w:p>
        </w:tc>
        <w:tc>
          <w:tcPr>
            <w:tcW w:w="85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trPr>
        <w:tc>
          <w:tcPr>
            <w:tcW w:w="2980"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134"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13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100"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22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6" w:hRule="atLeast"/>
          <w:tblHeader/>
        </w:trPr>
        <w:tc>
          <w:tcPr>
            <w:tcW w:w="616"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364"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13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43.8%</w:t>
            </w:r>
          </w:p>
        </w:tc>
        <w:tc>
          <w:tcPr>
            <w:tcW w:w="113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19.7%</w:t>
            </w:r>
          </w:p>
        </w:tc>
        <w:tc>
          <w:tcPr>
            <w:tcW w:w="110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15.7%</w:t>
            </w:r>
          </w:p>
        </w:tc>
        <w:tc>
          <w:tcPr>
            <w:tcW w:w="122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31.3%</w:t>
            </w:r>
          </w:p>
        </w:tc>
        <w:tc>
          <w:tcPr>
            <w:tcW w:w="853"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trPr>
        <w:tc>
          <w:tcPr>
            <w:tcW w:w="61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15.8%</w:t>
            </w:r>
          </w:p>
        </w:tc>
        <w:tc>
          <w:tcPr>
            <w:tcW w:w="110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18.6%</w:t>
            </w:r>
          </w:p>
        </w:tc>
        <w:tc>
          <w:tcPr>
            <w:tcW w:w="122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4.9%</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trPr>
        <w:tc>
          <w:tcPr>
            <w:tcW w:w="61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17.5%</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35.0%</w:t>
            </w:r>
          </w:p>
        </w:tc>
        <w:tc>
          <w:tcPr>
            <w:tcW w:w="110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44.3%</w:t>
            </w:r>
          </w:p>
        </w:tc>
        <w:tc>
          <w:tcPr>
            <w:tcW w:w="122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16.0%</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7" w:hRule="atLeast"/>
          <w:tblHeader/>
        </w:trPr>
        <w:tc>
          <w:tcPr>
            <w:tcW w:w="61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4"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26.3%</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29.5%</w:t>
            </w:r>
          </w:p>
        </w:tc>
        <w:tc>
          <w:tcPr>
            <w:tcW w:w="1100"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21.4%</w:t>
            </w:r>
          </w:p>
        </w:tc>
        <w:tc>
          <w:tcPr>
            <w:tcW w:w="1229"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47.9%</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0" w:hRule="atLeast"/>
        </w:trPr>
        <w:tc>
          <w:tcPr>
            <w:tcW w:w="2980"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13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2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3"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5.55 </w:t>
      </w:r>
      <w:r>
        <w:rPr>
          <w:rFonts w:hint="eastAsia" w:ascii="Times New Roman" w:hAnsi="Times New Roman" w:eastAsia="宋体" w:cs="Times New Roman"/>
          <w:sz w:val="21"/>
          <w:szCs w:val="21"/>
        </w:rPr>
        <w:t>第十六条规定</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4"/>
        <w:gridCol w:w="2360"/>
        <w:gridCol w:w="1134"/>
        <w:gridCol w:w="1134"/>
        <w:gridCol w:w="1105"/>
        <w:gridCol w:w="1230"/>
        <w:gridCol w:w="85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06" w:hRule="atLeast"/>
          <w:tblHeader/>
        </w:trPr>
        <w:tc>
          <w:tcPr>
            <w:tcW w:w="2974"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52" w:lineRule="auto"/>
              <w:jc w:val="left"/>
              <w:rPr>
                <w:rFonts w:ascii="Times New Roman" w:hAnsi="Times New Roman" w:eastAsia="宋体" w:cs="Times New Roman"/>
                <w:kern w:val="0"/>
                <w:sz w:val="21"/>
                <w:szCs w:val="21"/>
              </w:rPr>
            </w:pPr>
          </w:p>
        </w:tc>
        <w:tc>
          <w:tcPr>
            <w:tcW w:w="4603"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《武汉市社会办养老福利机构管理办法》第十六条规定您认为该规定实施效果如何？</w:t>
            </w:r>
          </w:p>
        </w:tc>
        <w:tc>
          <w:tcPr>
            <w:tcW w:w="853"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trPr>
        <w:tc>
          <w:tcPr>
            <w:tcW w:w="2974"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134"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13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10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230"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3"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6" w:hRule="atLeast"/>
          <w:tblHeader/>
        </w:trPr>
        <w:tc>
          <w:tcPr>
            <w:tcW w:w="61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360" w:type="dxa"/>
            <w:tcBorders>
              <w:top w:val="single" w:color="000000" w:sz="18" w:space="0"/>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13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42.2%</w:t>
            </w:r>
          </w:p>
        </w:tc>
        <w:tc>
          <w:tcPr>
            <w:tcW w:w="113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10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14.9%</w:t>
            </w:r>
          </w:p>
        </w:tc>
        <w:tc>
          <w:tcPr>
            <w:tcW w:w="1230"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32.4%</w:t>
            </w:r>
          </w:p>
        </w:tc>
        <w:tc>
          <w:tcPr>
            <w:tcW w:w="853"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0"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13.3%</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16.4%</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16.9%</w:t>
            </w:r>
          </w:p>
        </w:tc>
        <w:tc>
          <w:tcPr>
            <w:tcW w:w="1230"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5.6%</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0"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15.6%</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38.9%</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1230"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14.8%</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6" w:hRule="atLeast"/>
          <w:tblHeader/>
        </w:trPr>
        <w:tc>
          <w:tcPr>
            <w:tcW w:w="61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0"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28.9%</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25.8%</w:t>
            </w:r>
          </w:p>
        </w:tc>
        <w:tc>
          <w:tcPr>
            <w:tcW w:w="1105"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27.9%</w:t>
            </w:r>
          </w:p>
        </w:tc>
        <w:tc>
          <w:tcPr>
            <w:tcW w:w="1230"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47.2%</w:t>
            </w:r>
          </w:p>
        </w:tc>
        <w:tc>
          <w:tcPr>
            <w:tcW w:w="853"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06" w:hRule="atLeast"/>
        </w:trPr>
        <w:tc>
          <w:tcPr>
            <w:tcW w:w="2974"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13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0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30"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3"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5.56 </w:t>
      </w:r>
      <w:r>
        <w:rPr>
          <w:rFonts w:hint="eastAsia" w:ascii="Times New Roman" w:hAnsi="Times New Roman" w:eastAsia="宋体" w:cs="Times New Roman"/>
          <w:sz w:val="21"/>
          <w:szCs w:val="21"/>
        </w:rPr>
        <w:t>第二十七条规定</w:t>
      </w:r>
    </w:p>
    <w:tbl>
      <w:tblPr>
        <w:tblStyle w:val="21"/>
        <w:tblW w:w="847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20"/>
        <w:gridCol w:w="2358"/>
        <w:gridCol w:w="1134"/>
        <w:gridCol w:w="1134"/>
        <w:gridCol w:w="1136"/>
        <w:gridCol w:w="1235"/>
        <w:gridCol w:w="85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182" w:hRule="atLeast"/>
          <w:tblHeader/>
        </w:trPr>
        <w:tc>
          <w:tcPr>
            <w:tcW w:w="2978"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76" w:lineRule="auto"/>
              <w:jc w:val="left"/>
              <w:rPr>
                <w:rFonts w:ascii="Times New Roman" w:hAnsi="Times New Roman" w:eastAsia="宋体" w:cs="Times New Roman"/>
                <w:kern w:val="0"/>
                <w:sz w:val="21"/>
                <w:szCs w:val="21"/>
              </w:rPr>
            </w:pPr>
          </w:p>
        </w:tc>
        <w:tc>
          <w:tcPr>
            <w:tcW w:w="4639"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《武汉市社会办养老福利机构管理办法》第二十七条规定：</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社会办养老福利机构的卫生技术、生活护理、财务、炊事等工作人员应当具有岗位技术等级或者执业技术资格证书和执业证书。</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您认为该规定在本地区实施效果如何？</w:t>
            </w:r>
          </w:p>
        </w:tc>
        <w:tc>
          <w:tcPr>
            <w:tcW w:w="858"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trPr>
        <w:tc>
          <w:tcPr>
            <w:tcW w:w="2978"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134"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13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13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2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76"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8"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9" w:hRule="atLeast"/>
          <w:tblHeader/>
        </w:trPr>
        <w:tc>
          <w:tcPr>
            <w:tcW w:w="620"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358" w:type="dxa"/>
            <w:tcBorders>
              <w:top w:val="single" w:color="000000" w:sz="18" w:space="0"/>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134"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28.7%</w:t>
            </w:r>
          </w:p>
        </w:tc>
        <w:tc>
          <w:tcPr>
            <w:tcW w:w="113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16.6%</w:t>
            </w:r>
          </w:p>
        </w:tc>
        <w:tc>
          <w:tcPr>
            <w:tcW w:w="113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20.8%</w:t>
            </w:r>
          </w:p>
        </w:tc>
        <w:tc>
          <w:tcPr>
            <w:tcW w:w="12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35.5%</w:t>
            </w:r>
          </w:p>
        </w:tc>
        <w:tc>
          <w:tcPr>
            <w:tcW w:w="858"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5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12.7%</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21.9%</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5.3%</w:t>
            </w:r>
          </w:p>
        </w:tc>
        <w:tc>
          <w:tcPr>
            <w:tcW w:w="858"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5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44.4%</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15.4%</w:t>
            </w:r>
          </w:p>
        </w:tc>
        <w:tc>
          <w:tcPr>
            <w:tcW w:w="858"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3" w:hRule="atLeast"/>
          <w:tblHeader/>
        </w:trPr>
        <w:tc>
          <w:tcPr>
            <w:tcW w:w="620"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58" w:type="dxa"/>
            <w:tcBorders>
              <w:top w:val="nil"/>
              <w:left w:val="nil"/>
              <w:bottom w:val="nil"/>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134" w:type="dxa"/>
            <w:tcBorders>
              <w:top w:val="nil"/>
              <w:left w:val="single" w:color="000000" w:sz="1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31.7%</w:t>
            </w:r>
          </w:p>
        </w:tc>
        <w:tc>
          <w:tcPr>
            <w:tcW w:w="1134"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26.3%</w:t>
            </w:r>
          </w:p>
        </w:tc>
        <w:tc>
          <w:tcPr>
            <w:tcW w:w="1136"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25.0%</w:t>
            </w:r>
          </w:p>
        </w:tc>
        <w:tc>
          <w:tcPr>
            <w:tcW w:w="1235" w:type="dxa"/>
            <w:tcBorders>
              <w:top w:val="nil"/>
              <w:left w:val="single" w:color="000000" w:sz="8" w:space="0"/>
              <w:bottom w:val="nil"/>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43.8%</w:t>
            </w:r>
          </w:p>
        </w:tc>
        <w:tc>
          <w:tcPr>
            <w:tcW w:w="858" w:type="dxa"/>
            <w:tcBorders>
              <w:top w:val="nil"/>
              <w:left w:val="single" w:color="000000" w:sz="8" w:space="0"/>
              <w:bottom w:val="nil"/>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299" w:hRule="atLeast"/>
        </w:trPr>
        <w:tc>
          <w:tcPr>
            <w:tcW w:w="2978"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134"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8"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76"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ind w:firstLine="420"/>
        <w:jc w:val="center"/>
        <w:rPr>
          <w:rFonts w:ascii="Times New Roman" w:hAnsi="Times New Roman" w:eastAsia="宋体" w:cs="Times New Roman"/>
          <w:sz w:val="21"/>
          <w:szCs w:val="21"/>
        </w:rPr>
      </w:pPr>
    </w:p>
    <w:p>
      <w:pPr>
        <w:spacing w:line="300" w:lineRule="auto"/>
        <w:ind w:firstLine="42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5.57 </w:t>
      </w:r>
      <w:r>
        <w:rPr>
          <w:rFonts w:hint="eastAsia" w:ascii="Times New Roman" w:hAnsi="Times New Roman" w:eastAsia="宋体" w:cs="Times New Roman"/>
          <w:sz w:val="21"/>
          <w:szCs w:val="21"/>
        </w:rPr>
        <w:t>第三十四条规定</w:t>
      </w:r>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15"/>
        <w:gridCol w:w="2362"/>
        <w:gridCol w:w="1135"/>
        <w:gridCol w:w="1135"/>
        <w:gridCol w:w="1111"/>
        <w:gridCol w:w="1232"/>
        <w:gridCol w:w="85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36" w:hRule="atLeast"/>
          <w:tblHeader/>
        </w:trPr>
        <w:tc>
          <w:tcPr>
            <w:tcW w:w="2977"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4613"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《武汉市社会办养老福利机构管理办法》第三十四条规定您认为该规定在本地区实施效果如何？</w:t>
            </w:r>
          </w:p>
        </w:tc>
        <w:tc>
          <w:tcPr>
            <w:tcW w:w="855"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2977"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135"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135"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111"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23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855"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8" w:hRule="atLeast"/>
          <w:tblHeader/>
        </w:trPr>
        <w:tc>
          <w:tcPr>
            <w:tcW w:w="615"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职业</w:t>
            </w:r>
          </w:p>
        </w:tc>
        <w:tc>
          <w:tcPr>
            <w:tcW w:w="2362"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机关事业单位工作人员</w:t>
            </w:r>
          </w:p>
        </w:tc>
        <w:tc>
          <w:tcPr>
            <w:tcW w:w="1135"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33.6%</w:t>
            </w:r>
          </w:p>
        </w:tc>
        <w:tc>
          <w:tcPr>
            <w:tcW w:w="1135"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111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17.4%</w:t>
            </w:r>
          </w:p>
        </w:tc>
        <w:tc>
          <w:tcPr>
            <w:tcW w:w="123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c>
          <w:tcPr>
            <w:tcW w:w="855"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国有企业工作人员</w:t>
            </w:r>
          </w:p>
        </w:tc>
        <w:tc>
          <w:tcPr>
            <w:tcW w:w="113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16.8%</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10.3%</w:t>
            </w:r>
          </w:p>
        </w:tc>
        <w:tc>
          <w:tcPr>
            <w:tcW w:w="111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21.5%</w:t>
            </w:r>
          </w:p>
        </w:tc>
        <w:tc>
          <w:tcPr>
            <w:tcW w:w="123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c>
          <w:tcPr>
            <w:tcW w:w="85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私营、外资、个体企业工作人员</w:t>
            </w:r>
          </w:p>
        </w:tc>
        <w:tc>
          <w:tcPr>
            <w:tcW w:w="113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23.4%</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40.5%</w:t>
            </w:r>
          </w:p>
        </w:tc>
        <w:tc>
          <w:tcPr>
            <w:tcW w:w="111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43.0%</w:t>
            </w:r>
          </w:p>
        </w:tc>
        <w:tc>
          <w:tcPr>
            <w:tcW w:w="123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17.8%</w:t>
            </w:r>
          </w:p>
        </w:tc>
        <w:tc>
          <w:tcPr>
            <w:tcW w:w="85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1" w:hRule="atLeast"/>
          <w:tblHeader/>
        </w:trPr>
        <w:tc>
          <w:tcPr>
            <w:tcW w:w="615"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2362"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自由职业或无业</w:t>
            </w:r>
          </w:p>
        </w:tc>
        <w:tc>
          <w:tcPr>
            <w:tcW w:w="1135"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26.2%</w:t>
            </w:r>
          </w:p>
        </w:tc>
        <w:tc>
          <w:tcPr>
            <w:tcW w:w="1135"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32.3%</w:t>
            </w:r>
          </w:p>
        </w:tc>
        <w:tc>
          <w:tcPr>
            <w:tcW w:w="111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18.0%</w:t>
            </w:r>
          </w:p>
        </w:tc>
        <w:tc>
          <w:tcPr>
            <w:tcW w:w="1232"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39.1%</w:t>
            </w:r>
          </w:p>
        </w:tc>
        <w:tc>
          <w:tcPr>
            <w:tcW w:w="855"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8" w:hRule="atLeast"/>
        </w:trPr>
        <w:tc>
          <w:tcPr>
            <w:tcW w:w="2977"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135"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35"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11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23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855"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从上表中可以看出机关事业工作人员和自由职业或无业人员均对运营规范和监督管理问题的实施效果认可程度较低；国有企业工作人员仅对监督管理问题的实施效果认可程度较低；</w:t>
      </w:r>
      <w:bookmarkStart w:id="23" w:name="_Hlk516251837"/>
      <w:r>
        <w:rPr>
          <w:rFonts w:hint="eastAsia" w:ascii="Times New Roman" w:hAnsi="Times New Roman" w:eastAsia="宋体" w:cs="Times New Roman"/>
          <w:szCs w:val="21"/>
        </w:rPr>
        <w:t>私营、外资、个体企业工作人员</w:t>
      </w:r>
      <w:bookmarkEnd w:id="23"/>
      <w:r>
        <w:rPr>
          <w:rFonts w:hint="eastAsia" w:ascii="Times New Roman" w:hAnsi="Times New Roman" w:eastAsia="宋体" w:cs="Times New Roman"/>
          <w:szCs w:val="21"/>
        </w:rPr>
        <w:t>对该《办法》实施效果认可程度均较高。这反映出该《办法》的制度建设情况对于私营、外资、个体企业工作人员是合理和令人满意的。</w:t>
      </w:r>
    </w:p>
    <w:bookmarkEnd w:id="22"/>
    <w:p>
      <w:pPr>
        <w:spacing w:line="300" w:lineRule="auto"/>
        <w:ind w:firstLine="480" w:firstLineChars="200"/>
      </w:pPr>
      <w:r>
        <w:fldChar w:fldCharType="begin"/>
      </w:r>
      <w:r>
        <w:instrText xml:space="preserve"> = 3 \* GB3 </w:instrText>
      </w:r>
      <w:r>
        <w:fldChar w:fldCharType="separate"/>
      </w:r>
      <w:r>
        <w:rPr>
          <w:rFonts w:hint="eastAsia"/>
        </w:rPr>
        <w:t>③</w:t>
      </w:r>
      <w:r>
        <w:fldChar w:fldCharType="end"/>
      </w:r>
      <w:r>
        <w:rPr>
          <w:rFonts w:hint="eastAsia"/>
        </w:rPr>
        <w:t>学历分析：</w:t>
      </w:r>
    </w:p>
    <w:p>
      <w:pPr>
        <w:spacing w:line="300" w:lineRule="auto"/>
        <w:jc w:val="center"/>
        <w:rPr>
          <w:rFonts w:ascii="Times New Roman" w:hAnsi="Times New Roman" w:cs="Times New Roman"/>
          <w:kern w:val="0"/>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5.58</w:t>
      </w:r>
      <w:r>
        <w:rPr>
          <w:rFonts w:hint="eastAsia" w:ascii="Times New Roman" w:hAnsi="Times New Roman" w:eastAsia="宋体" w:cs="Times New Roman"/>
          <w:sz w:val="21"/>
          <w:szCs w:val="21"/>
        </w:rPr>
        <w:t>第九条规定</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7"/>
        <w:gridCol w:w="1440"/>
        <w:gridCol w:w="1233"/>
        <w:gridCol w:w="1371"/>
        <w:gridCol w:w="1373"/>
        <w:gridCol w:w="1374"/>
        <w:gridCol w:w="95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35" w:hRule="atLeast"/>
          <w:tblHeader/>
        </w:trPr>
        <w:tc>
          <w:tcPr>
            <w:tcW w:w="2127"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autoSpaceDE w:val="0"/>
              <w:autoSpaceDN w:val="0"/>
              <w:adjustRightInd w:val="0"/>
              <w:spacing w:line="300" w:lineRule="auto"/>
              <w:jc w:val="center"/>
              <w:rPr>
                <w:rFonts w:ascii="Times New Roman" w:hAnsi="Times New Roman" w:eastAsia="宋体" w:cs="Times New Roman"/>
                <w:kern w:val="0"/>
                <w:sz w:val="21"/>
                <w:szCs w:val="21"/>
              </w:rPr>
            </w:pPr>
          </w:p>
        </w:tc>
        <w:tc>
          <w:tcPr>
            <w:tcW w:w="5351"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《武汉市社会办养老福利机构管理办法》第九条规定您认为该规定实施效果如何？</w:t>
            </w:r>
          </w:p>
        </w:tc>
        <w:tc>
          <w:tcPr>
            <w:tcW w:w="952"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2127"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33"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371"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373"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37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300"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2"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1" w:hRule="atLeast"/>
          <w:tblHeader/>
        </w:trPr>
        <w:tc>
          <w:tcPr>
            <w:tcW w:w="687"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440" w:type="dxa"/>
            <w:tcBorders>
              <w:top w:val="single" w:color="000000" w:sz="18" w:space="0"/>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33"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37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12.6%</w:t>
            </w:r>
          </w:p>
        </w:tc>
        <w:tc>
          <w:tcPr>
            <w:tcW w:w="1373"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37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14.6%</w:t>
            </w:r>
          </w:p>
        </w:tc>
        <w:tc>
          <w:tcPr>
            <w:tcW w:w="952"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3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12.3%</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8.3%</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3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18.8%</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21.0%</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35.2%</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13.2%</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3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43.8%</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37.4%</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27.6%</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40.3%</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7"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0" w:type="dxa"/>
            <w:tcBorders>
              <w:top w:val="nil"/>
              <w:left w:val="nil"/>
              <w:bottom w:val="nil"/>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33" w:type="dxa"/>
            <w:tcBorders>
              <w:top w:val="nil"/>
              <w:left w:val="single" w:color="000000" w:sz="1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12.5%</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373"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7.6%</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23.6%</w:t>
            </w:r>
          </w:p>
        </w:tc>
        <w:tc>
          <w:tcPr>
            <w:tcW w:w="952" w:type="dxa"/>
            <w:tcBorders>
              <w:top w:val="nil"/>
              <w:left w:val="single" w:color="000000" w:sz="8" w:space="0"/>
              <w:bottom w:val="nil"/>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1" w:hRule="atLeast"/>
        </w:trPr>
        <w:tc>
          <w:tcPr>
            <w:tcW w:w="2127"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33"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3"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2"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300"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widowControl/>
        <w:jc w:val="left"/>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5.59</w:t>
      </w:r>
      <w:r>
        <w:rPr>
          <w:rFonts w:hint="eastAsia" w:ascii="Times New Roman" w:hAnsi="Times New Roman" w:eastAsia="宋体" w:cs="Times New Roman"/>
          <w:sz w:val="21"/>
          <w:szCs w:val="21"/>
        </w:rPr>
        <w:t>第十六条规定</w:t>
      </w:r>
    </w:p>
    <w:tbl>
      <w:tblPr>
        <w:tblStyle w:val="21"/>
        <w:tblW w:w="844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6"/>
        <w:gridCol w:w="1439"/>
        <w:gridCol w:w="1240"/>
        <w:gridCol w:w="1374"/>
        <w:gridCol w:w="1376"/>
        <w:gridCol w:w="1376"/>
        <w:gridCol w:w="95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42" w:hRule="atLeast"/>
          <w:tblHeader/>
        </w:trPr>
        <w:tc>
          <w:tcPr>
            <w:tcW w:w="2125"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52" w:lineRule="auto"/>
              <w:jc w:val="left"/>
              <w:rPr>
                <w:rFonts w:ascii="Times New Roman" w:hAnsi="Times New Roman" w:eastAsia="宋体" w:cs="Times New Roman"/>
                <w:kern w:val="0"/>
                <w:sz w:val="21"/>
                <w:szCs w:val="21"/>
              </w:rPr>
            </w:pPr>
          </w:p>
        </w:tc>
        <w:tc>
          <w:tcPr>
            <w:tcW w:w="5366"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《武汉市社会办养老福利机构管理办法》第十六条规定您认为该规定实施效果如何？</w:t>
            </w:r>
          </w:p>
        </w:tc>
        <w:tc>
          <w:tcPr>
            <w:tcW w:w="954"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2125"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40"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37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376"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54"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1" w:hRule="atLeast"/>
          <w:tblHeader/>
        </w:trPr>
        <w:tc>
          <w:tcPr>
            <w:tcW w:w="686"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439" w:type="dxa"/>
            <w:tcBorders>
              <w:top w:val="single" w:color="000000" w:sz="18" w:space="0"/>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40"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w:t>
            </w:r>
          </w:p>
        </w:tc>
        <w:tc>
          <w:tcPr>
            <w:tcW w:w="137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13.8%</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17.5%</w:t>
            </w:r>
          </w:p>
        </w:tc>
        <w:tc>
          <w:tcPr>
            <w:tcW w:w="1376"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13.4%</w:t>
            </w:r>
          </w:p>
        </w:tc>
        <w:tc>
          <w:tcPr>
            <w:tcW w:w="954"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9"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40"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12.1%</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18.2%</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5.6%</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9"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40"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12.2%</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26.8%</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24.7%</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17.6%</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9"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40"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50.0%</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33.8%</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31.8%</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38.0%</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6"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39"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40"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18.9%</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13.5%</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7.8%</w:t>
            </w:r>
          </w:p>
        </w:tc>
        <w:tc>
          <w:tcPr>
            <w:tcW w:w="1376"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25.4%</w:t>
            </w:r>
          </w:p>
        </w:tc>
        <w:tc>
          <w:tcPr>
            <w:tcW w:w="954"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1" w:hRule="atLeast"/>
        </w:trPr>
        <w:tc>
          <w:tcPr>
            <w:tcW w:w="2125"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40"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6"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54"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jc w:val="center"/>
        <w:rPr>
          <w:rFonts w:ascii="Times New Roman" w:hAnsi="Times New Roman" w:eastAsia="宋体" w:cs="Times New Roman"/>
          <w:sz w:val="21"/>
          <w:szCs w:val="21"/>
        </w:rPr>
      </w:pPr>
    </w:p>
    <w:p>
      <w:pPr>
        <w:spacing w:line="300" w:lineRule="auto"/>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表</w:t>
      </w:r>
      <w:r>
        <w:rPr>
          <w:rFonts w:ascii="Times New Roman" w:hAnsi="Times New Roman" w:eastAsia="宋体" w:cs="Times New Roman"/>
          <w:sz w:val="21"/>
          <w:szCs w:val="21"/>
        </w:rPr>
        <w:t xml:space="preserve">5.60 </w:t>
      </w:r>
      <w:r>
        <w:rPr>
          <w:rFonts w:hint="eastAsia" w:ascii="Times New Roman" w:hAnsi="Times New Roman" w:eastAsia="宋体" w:cs="Times New Roman"/>
          <w:sz w:val="21"/>
          <w:szCs w:val="21"/>
        </w:rPr>
        <w:t>第二十七条规定</w:t>
      </w:r>
    </w:p>
    <w:tbl>
      <w:tblPr>
        <w:tblStyle w:val="21"/>
        <w:tblW w:w="8430"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4"/>
        <w:gridCol w:w="1441"/>
        <w:gridCol w:w="1232"/>
        <w:gridCol w:w="1372"/>
        <w:gridCol w:w="1374"/>
        <w:gridCol w:w="1408"/>
        <w:gridCol w:w="91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307" w:hRule="atLeast"/>
          <w:tblHeader/>
        </w:trPr>
        <w:tc>
          <w:tcPr>
            <w:tcW w:w="2125"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52" w:lineRule="auto"/>
              <w:jc w:val="left"/>
              <w:rPr>
                <w:rFonts w:ascii="Times New Roman" w:hAnsi="Times New Roman" w:eastAsia="宋体" w:cs="Times New Roman"/>
                <w:kern w:val="0"/>
                <w:sz w:val="21"/>
                <w:szCs w:val="21"/>
              </w:rPr>
            </w:pPr>
          </w:p>
        </w:tc>
        <w:tc>
          <w:tcPr>
            <w:tcW w:w="5386"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《武汉市社会办养老福利机构管理办法》第二十七条规定：</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社会办养老福利机构的卫生技术、生活护理、财务、炊事等工作人员应当具有岗位技术等级或者执业技术资格证书和执业证书。</w:t>
            </w:r>
            <w:r>
              <w:rPr>
                <w:rFonts w:ascii="Times New Roman" w:hAnsi="Times New Roman" w:eastAsia="宋体" w:cs="Times New Roman"/>
                <w:kern w:val="0"/>
                <w:sz w:val="21"/>
                <w:szCs w:val="21"/>
              </w:rPr>
              <w:t>”</w:t>
            </w:r>
            <w:r>
              <w:rPr>
                <w:rFonts w:hint="eastAsia" w:ascii="Times New Roman" w:hAnsi="宋体" w:eastAsia="宋体" w:cs="Times New Roman"/>
                <w:kern w:val="0"/>
                <w:sz w:val="21"/>
                <w:szCs w:val="21"/>
              </w:rPr>
              <w:t>您认为该规定在本地区实施效果如何？</w:t>
            </w:r>
          </w:p>
        </w:tc>
        <w:tc>
          <w:tcPr>
            <w:tcW w:w="919"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7" w:hRule="atLeast"/>
          <w:tblHeader/>
        </w:trPr>
        <w:tc>
          <w:tcPr>
            <w:tcW w:w="2125"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c>
          <w:tcPr>
            <w:tcW w:w="1232"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很好</w:t>
            </w:r>
          </w:p>
        </w:tc>
        <w:tc>
          <w:tcPr>
            <w:tcW w:w="137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较好</w:t>
            </w:r>
          </w:p>
        </w:tc>
        <w:tc>
          <w:tcPr>
            <w:tcW w:w="1374"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不理想</w:t>
            </w:r>
          </w:p>
        </w:tc>
        <w:tc>
          <w:tcPr>
            <w:tcW w:w="1408"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不清楚</w:t>
            </w:r>
          </w:p>
        </w:tc>
        <w:tc>
          <w:tcPr>
            <w:tcW w:w="919"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Times New Roman" w:hAnsi="Times New Roman"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30" w:hRule="atLeast"/>
          <w:tblHeader/>
        </w:trPr>
        <w:tc>
          <w:tcPr>
            <w:tcW w:w="68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学历</w:t>
            </w:r>
          </w:p>
        </w:tc>
        <w:tc>
          <w:tcPr>
            <w:tcW w:w="1441" w:type="dxa"/>
            <w:tcBorders>
              <w:top w:val="single" w:color="000000" w:sz="18" w:space="0"/>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初中以下</w:t>
            </w:r>
          </w:p>
        </w:tc>
        <w:tc>
          <w:tcPr>
            <w:tcW w:w="1232"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37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14.5%</w:t>
            </w:r>
          </w:p>
        </w:tc>
        <w:tc>
          <w:tcPr>
            <w:tcW w:w="1374"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14.1%</w:t>
            </w:r>
          </w:p>
        </w:tc>
        <w:tc>
          <w:tcPr>
            <w:tcW w:w="1408"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919"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7"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高中</w:t>
            </w:r>
          </w:p>
        </w:tc>
        <w:tc>
          <w:tcPr>
            <w:tcW w:w="1232"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10.9%</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13.0%</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16.7%</w:t>
            </w:r>
          </w:p>
        </w:tc>
        <w:tc>
          <w:tcPr>
            <w:tcW w:w="1408"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w:t>
            </w:r>
          </w:p>
        </w:tc>
        <w:tc>
          <w:tcPr>
            <w:tcW w:w="919"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7"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中专或者大专</w:t>
            </w:r>
          </w:p>
        </w:tc>
        <w:tc>
          <w:tcPr>
            <w:tcW w:w="1232"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12.9%</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22.8%</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33.3%</w:t>
            </w:r>
          </w:p>
        </w:tc>
        <w:tc>
          <w:tcPr>
            <w:tcW w:w="1408"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18.3%</w:t>
            </w:r>
          </w:p>
        </w:tc>
        <w:tc>
          <w:tcPr>
            <w:tcW w:w="919"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7"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w:t>
            </w:r>
          </w:p>
        </w:tc>
        <w:tc>
          <w:tcPr>
            <w:tcW w:w="1232"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43.6%</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36.1%</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27.1%</w:t>
            </w:r>
          </w:p>
        </w:tc>
        <w:tc>
          <w:tcPr>
            <w:tcW w:w="1408"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41.4%</w:t>
            </w:r>
          </w:p>
        </w:tc>
        <w:tc>
          <w:tcPr>
            <w:tcW w:w="919"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7"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Times New Roman" w:hAnsi="Times New Roman"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大学本科以上</w:t>
            </w:r>
          </w:p>
        </w:tc>
        <w:tc>
          <w:tcPr>
            <w:tcW w:w="1232"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19.8%</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13.6%</w:t>
            </w:r>
          </w:p>
        </w:tc>
        <w:tc>
          <w:tcPr>
            <w:tcW w:w="1374"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8.9%</w:t>
            </w:r>
          </w:p>
        </w:tc>
        <w:tc>
          <w:tcPr>
            <w:tcW w:w="1408"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22.5%</w:t>
            </w:r>
          </w:p>
        </w:tc>
        <w:tc>
          <w:tcPr>
            <w:tcW w:w="919"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3" w:hRule="atLeast"/>
        </w:trPr>
        <w:tc>
          <w:tcPr>
            <w:tcW w:w="2125"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left"/>
              <w:rPr>
                <w:rFonts w:ascii="Times New Roman" w:hAnsi="Times New Roman" w:eastAsia="宋体" w:cs="Times New Roman"/>
                <w:kern w:val="0"/>
                <w:sz w:val="21"/>
                <w:szCs w:val="21"/>
              </w:rPr>
            </w:pPr>
            <w:r>
              <w:rPr>
                <w:rFonts w:hint="eastAsia" w:ascii="Times New Roman" w:hAnsi="宋体" w:eastAsia="宋体" w:cs="Times New Roman"/>
                <w:kern w:val="0"/>
                <w:sz w:val="21"/>
                <w:szCs w:val="21"/>
              </w:rPr>
              <w:t>合计</w:t>
            </w:r>
          </w:p>
        </w:tc>
        <w:tc>
          <w:tcPr>
            <w:tcW w:w="1232"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374"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1408"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c>
          <w:tcPr>
            <w:tcW w:w="919"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right"/>
              <w:rPr>
                <w:rFonts w:ascii="Times New Roman" w:hAnsi="Times New Roman" w:eastAsia="宋体" w:cs="Times New Roman"/>
                <w:kern w:val="0"/>
                <w:sz w:val="21"/>
                <w:szCs w:val="21"/>
              </w:rPr>
            </w:pPr>
            <w:r>
              <w:rPr>
                <w:rFonts w:ascii="Times New Roman" w:hAnsi="Times New Roman" w:eastAsia="宋体" w:cs="Times New Roman"/>
                <w:kern w:val="0"/>
                <w:sz w:val="21"/>
                <w:szCs w:val="21"/>
              </w:rPr>
              <w:t>100.0%</w:t>
            </w:r>
          </w:p>
        </w:tc>
      </w:tr>
    </w:tbl>
    <w:p>
      <w:pPr>
        <w:spacing w:line="300" w:lineRule="auto"/>
        <w:rPr>
          <w:rFonts w:ascii="宋体" w:hAnsi="宋体" w:eastAsia="宋体" w:cs="Times New Roman"/>
          <w:sz w:val="21"/>
          <w:szCs w:val="21"/>
        </w:rPr>
      </w:pPr>
    </w:p>
    <w:p>
      <w:pPr>
        <w:spacing w:line="300" w:lineRule="auto"/>
        <w:jc w:val="center"/>
        <w:rPr>
          <w:rFonts w:hint="eastAsia" w:ascii="宋体" w:hAnsi="宋体" w:eastAsia="宋体" w:cs="Times New Roman"/>
          <w:sz w:val="21"/>
          <w:szCs w:val="21"/>
        </w:rPr>
      </w:pPr>
      <w:r>
        <w:rPr>
          <w:rFonts w:hint="eastAsia" w:ascii="宋体" w:hAnsi="宋体" w:eastAsia="宋体" w:cs="Times New Roman"/>
          <w:sz w:val="21"/>
          <w:szCs w:val="21"/>
        </w:rPr>
        <w:t>表5.61 第三十四条规定</w:t>
      </w:r>
    </w:p>
    <w:tbl>
      <w:tblPr>
        <w:tblStyle w:val="21"/>
        <w:tblW w:w="8415" w:type="dxa"/>
        <w:tblInd w:w="2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684"/>
        <w:gridCol w:w="1441"/>
        <w:gridCol w:w="1228"/>
        <w:gridCol w:w="1369"/>
        <w:gridCol w:w="1371"/>
        <w:gridCol w:w="1372"/>
        <w:gridCol w:w="9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636" w:hRule="atLeast"/>
          <w:tblHeader/>
        </w:trPr>
        <w:tc>
          <w:tcPr>
            <w:tcW w:w="2125" w:type="dxa"/>
            <w:gridSpan w:val="2"/>
            <w:vMerge w:val="restart"/>
            <w:tcBorders>
              <w:top w:val="single" w:color="000000" w:sz="18" w:space="0"/>
              <w:left w:val="single" w:color="000000" w:sz="18" w:space="0"/>
              <w:bottom w:val="single" w:color="000000" w:sz="18" w:space="0"/>
              <w:right w:val="single" w:color="000000" w:sz="18" w:space="0"/>
            </w:tcBorders>
            <w:shd w:val="clear" w:color="auto" w:fill="FFFFFF"/>
            <w:vAlign w:val="center"/>
          </w:tcPr>
          <w:p>
            <w:pPr>
              <w:widowControl/>
              <w:spacing w:line="252" w:lineRule="auto"/>
              <w:jc w:val="left"/>
              <w:rPr>
                <w:rFonts w:ascii="宋体" w:hAnsi="宋体" w:eastAsia="宋体" w:cs="Times New Roman"/>
                <w:kern w:val="0"/>
                <w:sz w:val="21"/>
                <w:szCs w:val="21"/>
              </w:rPr>
            </w:pPr>
          </w:p>
        </w:tc>
        <w:tc>
          <w:tcPr>
            <w:tcW w:w="5340" w:type="dxa"/>
            <w:gridSpan w:val="4"/>
            <w:tcBorders>
              <w:top w:val="single" w:color="000000" w:sz="18" w:space="0"/>
              <w:left w:val="single" w:color="000000" w:sz="18" w:space="0"/>
              <w:bottom w:val="single" w:color="000000" w:sz="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《武汉市社会办养老福利机构管理办法》第三十四条规定您认为该规定在本地区实施效果如何？</w:t>
            </w:r>
          </w:p>
        </w:tc>
        <w:tc>
          <w:tcPr>
            <w:tcW w:w="950" w:type="dxa"/>
            <w:vMerge w:val="restart"/>
            <w:tcBorders>
              <w:top w:val="single" w:color="000000" w:sz="18" w:space="0"/>
              <w:left w:val="single" w:color="000000" w:sz="8" w:space="0"/>
              <w:bottom w:val="single" w:color="000000" w:sz="18" w:space="0"/>
              <w:right w:val="single" w:color="000000" w:sz="1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合计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2125" w:type="dxa"/>
            <w:gridSpan w:val="2"/>
            <w:vMerge w:val="continue"/>
            <w:tcBorders>
              <w:top w:val="single" w:color="000000" w:sz="18" w:space="0"/>
              <w:left w:val="single" w:color="000000" w:sz="18" w:space="0"/>
              <w:bottom w:val="single" w:color="000000" w:sz="18" w:space="0"/>
              <w:right w:val="single" w:color="000000" w:sz="18" w:space="0"/>
            </w:tcBorders>
            <w:vAlign w:val="center"/>
          </w:tcPr>
          <w:p>
            <w:pPr>
              <w:widowControl/>
              <w:jc w:val="left"/>
              <w:rPr>
                <w:rFonts w:ascii="宋体" w:hAnsi="宋体" w:eastAsia="宋体" w:cs="Times New Roman"/>
                <w:kern w:val="0"/>
                <w:sz w:val="21"/>
                <w:szCs w:val="21"/>
              </w:rPr>
            </w:pPr>
          </w:p>
        </w:tc>
        <w:tc>
          <w:tcPr>
            <w:tcW w:w="1228" w:type="dxa"/>
            <w:tcBorders>
              <w:top w:val="single" w:color="000000" w:sz="8" w:space="0"/>
              <w:left w:val="single" w:color="000000" w:sz="1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很好</w:t>
            </w:r>
          </w:p>
        </w:tc>
        <w:tc>
          <w:tcPr>
            <w:tcW w:w="1369"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较好</w:t>
            </w:r>
          </w:p>
        </w:tc>
        <w:tc>
          <w:tcPr>
            <w:tcW w:w="1371"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不理想</w:t>
            </w:r>
          </w:p>
        </w:tc>
        <w:tc>
          <w:tcPr>
            <w:tcW w:w="1372" w:type="dxa"/>
            <w:tcBorders>
              <w:top w:val="single" w:color="000000" w:sz="8" w:space="0"/>
              <w:left w:val="single" w:color="000000" w:sz="8" w:space="0"/>
              <w:bottom w:val="single" w:color="000000" w:sz="18" w:space="0"/>
              <w:right w:val="single" w:color="000000" w:sz="8" w:space="0"/>
            </w:tcBorders>
            <w:shd w:val="clear" w:color="auto" w:fill="FFFFFF"/>
            <w:vAlign w:val="bottom"/>
          </w:tcPr>
          <w:p>
            <w:pPr>
              <w:autoSpaceDE w:val="0"/>
              <w:autoSpaceDN w:val="0"/>
              <w:adjustRightInd w:val="0"/>
              <w:spacing w:line="252" w:lineRule="auto"/>
              <w:ind w:left="60" w:right="60"/>
              <w:jc w:val="center"/>
              <w:rPr>
                <w:rFonts w:ascii="宋体" w:hAnsi="宋体" w:eastAsia="宋体" w:cs="Times New Roman"/>
                <w:kern w:val="0"/>
                <w:sz w:val="21"/>
                <w:szCs w:val="21"/>
              </w:rPr>
            </w:pPr>
            <w:r>
              <w:rPr>
                <w:rFonts w:hint="eastAsia" w:ascii="宋体" w:hAnsi="宋体" w:eastAsia="宋体" w:cs="Times New Roman"/>
                <w:kern w:val="0"/>
                <w:sz w:val="21"/>
                <w:szCs w:val="21"/>
              </w:rPr>
              <w:t>不清楚</w:t>
            </w:r>
          </w:p>
        </w:tc>
        <w:tc>
          <w:tcPr>
            <w:tcW w:w="950" w:type="dxa"/>
            <w:vMerge w:val="continue"/>
            <w:tcBorders>
              <w:top w:val="single" w:color="000000" w:sz="18" w:space="0"/>
              <w:left w:val="single" w:color="000000" w:sz="8" w:space="0"/>
              <w:bottom w:val="single" w:color="000000" w:sz="18" w:space="0"/>
              <w:right w:val="single" w:color="000000" w:sz="18" w:space="0"/>
            </w:tcBorders>
            <w:vAlign w:val="center"/>
          </w:tcPr>
          <w:p>
            <w:pPr>
              <w:widowControl/>
              <w:jc w:val="left"/>
              <w:rPr>
                <w:rFonts w:ascii="宋体" w:hAnsi="宋体" w:eastAsia="宋体" w:cs="Times New Roman"/>
                <w:kern w:val="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15" w:hRule="atLeast"/>
          <w:tblHeader/>
        </w:trPr>
        <w:tc>
          <w:tcPr>
            <w:tcW w:w="684" w:type="dxa"/>
            <w:vMerge w:val="restart"/>
            <w:tcBorders>
              <w:top w:val="single" w:color="000000" w:sz="18" w:space="0"/>
              <w:left w:val="single" w:color="000000" w:sz="18" w:space="0"/>
              <w:bottom w:val="nil"/>
              <w:right w:val="nil"/>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学历</w:t>
            </w:r>
          </w:p>
        </w:tc>
        <w:tc>
          <w:tcPr>
            <w:tcW w:w="1441" w:type="dxa"/>
            <w:tcBorders>
              <w:top w:val="single" w:color="000000" w:sz="18" w:space="0"/>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初中以下</w:t>
            </w:r>
          </w:p>
        </w:tc>
        <w:tc>
          <w:tcPr>
            <w:tcW w:w="1228" w:type="dxa"/>
            <w:tcBorders>
              <w:top w:val="single" w:color="000000" w:sz="18" w:space="0"/>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15.0%</w:t>
            </w:r>
          </w:p>
        </w:tc>
        <w:tc>
          <w:tcPr>
            <w:tcW w:w="1369"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13.4%</w:t>
            </w:r>
          </w:p>
        </w:tc>
        <w:tc>
          <w:tcPr>
            <w:tcW w:w="1371"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14.0%</w:t>
            </w:r>
          </w:p>
        </w:tc>
        <w:tc>
          <w:tcPr>
            <w:tcW w:w="1372" w:type="dxa"/>
            <w:tcBorders>
              <w:top w:val="single" w:color="000000" w:sz="18" w:space="0"/>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14.3%</w:t>
            </w:r>
          </w:p>
        </w:tc>
        <w:tc>
          <w:tcPr>
            <w:tcW w:w="950" w:type="dxa"/>
            <w:tcBorders>
              <w:top w:val="single" w:color="000000" w:sz="18" w:space="0"/>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14.0%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宋体" w:hAnsi="宋体"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高中</w:t>
            </w:r>
          </w:p>
        </w:tc>
        <w:tc>
          <w:tcPr>
            <w:tcW w:w="1228"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12.1%</w:t>
            </w:r>
          </w:p>
        </w:tc>
        <w:tc>
          <w:tcPr>
            <w:tcW w:w="1369"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10.7%</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16.9%</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9.1%</w:t>
            </w:r>
          </w:p>
        </w:tc>
        <w:tc>
          <w:tcPr>
            <w:tcW w:w="950"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宋体" w:hAnsi="宋体"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中专或者大专</w:t>
            </w:r>
          </w:p>
        </w:tc>
        <w:tc>
          <w:tcPr>
            <w:tcW w:w="1228"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14.0%</w:t>
            </w:r>
          </w:p>
        </w:tc>
        <w:tc>
          <w:tcPr>
            <w:tcW w:w="1369"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23.7%</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34.9%</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17.8%</w:t>
            </w:r>
          </w:p>
        </w:tc>
        <w:tc>
          <w:tcPr>
            <w:tcW w:w="950"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23.1%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宋体" w:hAnsi="宋体"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大学本科</w:t>
            </w:r>
          </w:p>
        </w:tc>
        <w:tc>
          <w:tcPr>
            <w:tcW w:w="1228"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40.2%</w:t>
            </w:r>
          </w:p>
        </w:tc>
        <w:tc>
          <w:tcPr>
            <w:tcW w:w="1369"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38.1%</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25.6%</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39.1%</w:t>
            </w:r>
          </w:p>
        </w:tc>
        <w:tc>
          <w:tcPr>
            <w:tcW w:w="950"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36.0%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143" w:hRule="atLeast"/>
          <w:tblHeader/>
        </w:trPr>
        <w:tc>
          <w:tcPr>
            <w:tcW w:w="684" w:type="dxa"/>
            <w:vMerge w:val="continue"/>
            <w:tcBorders>
              <w:top w:val="single" w:color="000000" w:sz="18" w:space="0"/>
              <w:left w:val="single" w:color="000000" w:sz="18" w:space="0"/>
              <w:bottom w:val="nil"/>
              <w:right w:val="nil"/>
            </w:tcBorders>
            <w:vAlign w:val="center"/>
          </w:tcPr>
          <w:p>
            <w:pPr>
              <w:widowControl/>
              <w:jc w:val="left"/>
              <w:rPr>
                <w:rFonts w:ascii="宋体" w:hAnsi="宋体" w:eastAsia="宋体" w:cs="Times New Roman"/>
                <w:kern w:val="0"/>
                <w:sz w:val="21"/>
                <w:szCs w:val="21"/>
              </w:rPr>
            </w:pPr>
          </w:p>
        </w:tc>
        <w:tc>
          <w:tcPr>
            <w:tcW w:w="1441" w:type="dxa"/>
            <w:tcBorders>
              <w:top w:val="nil"/>
              <w:left w:val="nil"/>
              <w:bottom w:val="nil"/>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大学本科以上</w:t>
            </w:r>
          </w:p>
        </w:tc>
        <w:tc>
          <w:tcPr>
            <w:tcW w:w="1228" w:type="dxa"/>
            <w:tcBorders>
              <w:top w:val="nil"/>
              <w:left w:val="single" w:color="000000" w:sz="1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18.7%</w:t>
            </w:r>
          </w:p>
        </w:tc>
        <w:tc>
          <w:tcPr>
            <w:tcW w:w="1369"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14.1%</w:t>
            </w:r>
          </w:p>
        </w:tc>
        <w:tc>
          <w:tcPr>
            <w:tcW w:w="1371"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8.7%</w:t>
            </w:r>
          </w:p>
        </w:tc>
        <w:tc>
          <w:tcPr>
            <w:tcW w:w="1372" w:type="dxa"/>
            <w:tcBorders>
              <w:top w:val="nil"/>
              <w:left w:val="single" w:color="000000" w:sz="8" w:space="0"/>
              <w:bottom w:val="nil"/>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19.6%</w:t>
            </w:r>
          </w:p>
        </w:tc>
        <w:tc>
          <w:tcPr>
            <w:tcW w:w="950" w:type="dxa"/>
            <w:tcBorders>
              <w:top w:val="nil"/>
              <w:left w:val="single" w:color="000000" w:sz="8" w:space="0"/>
              <w:bottom w:val="nil"/>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cantSplit/>
          <w:trHeight w:val="322" w:hRule="atLeast"/>
        </w:trPr>
        <w:tc>
          <w:tcPr>
            <w:tcW w:w="2125" w:type="dxa"/>
            <w:gridSpan w:val="2"/>
            <w:tcBorders>
              <w:top w:val="nil"/>
              <w:left w:val="single" w:color="000000" w:sz="1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left"/>
              <w:rPr>
                <w:rFonts w:ascii="宋体" w:hAnsi="宋体" w:eastAsia="宋体" w:cs="Times New Roman"/>
                <w:kern w:val="0"/>
                <w:sz w:val="21"/>
                <w:szCs w:val="21"/>
              </w:rPr>
            </w:pPr>
            <w:r>
              <w:rPr>
                <w:rFonts w:hint="eastAsia" w:ascii="宋体" w:hAnsi="宋体" w:eastAsia="宋体" w:cs="Times New Roman"/>
                <w:kern w:val="0"/>
                <w:sz w:val="21"/>
                <w:szCs w:val="21"/>
              </w:rPr>
              <w:t>合计</w:t>
            </w:r>
          </w:p>
        </w:tc>
        <w:tc>
          <w:tcPr>
            <w:tcW w:w="1228" w:type="dxa"/>
            <w:tcBorders>
              <w:top w:val="nil"/>
              <w:left w:val="single" w:color="000000" w:sz="1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100.0%</w:t>
            </w:r>
          </w:p>
        </w:tc>
        <w:tc>
          <w:tcPr>
            <w:tcW w:w="1369"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100.0%</w:t>
            </w:r>
          </w:p>
        </w:tc>
        <w:tc>
          <w:tcPr>
            <w:tcW w:w="1371"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100.0%</w:t>
            </w:r>
          </w:p>
        </w:tc>
        <w:tc>
          <w:tcPr>
            <w:tcW w:w="1372" w:type="dxa"/>
            <w:tcBorders>
              <w:top w:val="nil"/>
              <w:left w:val="single" w:color="000000" w:sz="8" w:space="0"/>
              <w:bottom w:val="single" w:color="000000" w:sz="18" w:space="0"/>
              <w:right w:val="single" w:color="000000" w:sz="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100.0%</w:t>
            </w:r>
          </w:p>
        </w:tc>
        <w:tc>
          <w:tcPr>
            <w:tcW w:w="950" w:type="dxa"/>
            <w:tcBorders>
              <w:top w:val="nil"/>
              <w:left w:val="single" w:color="000000" w:sz="8" w:space="0"/>
              <w:bottom w:val="single" w:color="000000" w:sz="18" w:space="0"/>
              <w:right w:val="single" w:color="000000" w:sz="18" w:space="0"/>
            </w:tcBorders>
            <w:shd w:val="clear" w:color="auto" w:fill="FFFFFF"/>
          </w:tcPr>
          <w:p>
            <w:pPr>
              <w:autoSpaceDE w:val="0"/>
              <w:autoSpaceDN w:val="0"/>
              <w:adjustRightInd w:val="0"/>
              <w:spacing w:line="252" w:lineRule="auto"/>
              <w:ind w:left="60" w:right="60"/>
              <w:jc w:val="right"/>
              <w:rPr>
                <w:rFonts w:ascii="宋体" w:hAnsi="宋体" w:eastAsia="宋体" w:cs="Times New Roman"/>
                <w:kern w:val="0"/>
                <w:sz w:val="21"/>
                <w:szCs w:val="21"/>
              </w:rPr>
            </w:pPr>
            <w:r>
              <w:rPr>
                <w:rFonts w:hint="eastAsia" w:ascii="宋体" w:hAnsi="宋体" w:eastAsia="宋体" w:cs="Times New Roman"/>
                <w:kern w:val="0"/>
                <w:sz w:val="21"/>
                <w:szCs w:val="21"/>
              </w:rPr>
              <w:t>100.0%</w:t>
            </w:r>
          </w:p>
        </w:tc>
      </w:tr>
    </w:tbl>
    <w:p>
      <w:pPr>
        <w:spacing w:line="300" w:lineRule="auto"/>
        <w:ind w:firstLine="420" w:firstLineChars="200"/>
        <w:rPr>
          <w:rFonts w:hint="eastAsia" w:ascii="Times New Roman" w:hAnsi="Times New Roman" w:eastAsia="宋体" w:cs="Times New Roman"/>
          <w:sz w:val="21"/>
          <w:szCs w:val="21"/>
        </w:rPr>
      </w:pPr>
    </w:p>
    <w:p>
      <w:pPr>
        <w:spacing w:line="300" w:lineRule="auto"/>
        <w:ind w:firstLine="480" w:firstLineChars="200"/>
        <w:rPr>
          <w:rFonts w:ascii="Times New Roman" w:hAnsi="Times New Roman" w:eastAsia="宋体" w:cs="Times New Roman"/>
          <w:szCs w:val="21"/>
        </w:rPr>
      </w:pPr>
      <w:r>
        <w:rPr>
          <w:rFonts w:hint="eastAsia" w:ascii="Times New Roman" w:hAnsi="Times New Roman" w:eastAsia="宋体" w:cs="Times New Roman"/>
          <w:szCs w:val="21"/>
        </w:rPr>
        <w:t>从上表中可以看出高中以下学历的公众均对监督管理问题的实施效果认可程度较低；中专或大专学历的公众仅对机构设立问题的实施效果认可程度较高；大学本科以上学历的公众对该《办法》实施效果认可程度均较高。这反映出该《办法》的制度建设情况对于较高学历公众的实施执行效果较为合理，对于中专或大专学历而言，制度建设存在可以改进的地方。</w:t>
      </w:r>
    </w:p>
    <w:p>
      <w:pPr>
        <w:spacing w:line="300" w:lineRule="auto"/>
        <w:ind w:firstLine="480" w:firstLineChars="200"/>
      </w:pPr>
      <w:r>
        <w:t>3.</w:t>
      </w:r>
      <w:r>
        <w:rPr>
          <w:rFonts w:hint="eastAsia"/>
        </w:rPr>
        <w:t>小结</w:t>
      </w:r>
    </w:p>
    <w:p>
      <w:pPr>
        <w:spacing w:line="300" w:lineRule="auto"/>
        <w:ind w:firstLine="480" w:firstLineChars="200"/>
        <w:rPr>
          <w:rFonts w:ascii="Times New Roman" w:hAnsi="Times New Roman" w:eastAsia="宋体" w:cs="Times New Roman"/>
          <w:sz w:val="32"/>
          <w:szCs w:val="21"/>
        </w:rPr>
      </w:pPr>
      <w:r>
        <w:rPr>
          <w:rFonts w:hint="eastAsia" w:ascii="Times New Roman" w:hAnsi="Times New Roman" w:eastAsia="宋体" w:cs="Times New Roman"/>
          <w:szCs w:val="21"/>
        </w:rPr>
        <w:t>综合上述，对于《办法》推行至今的制度建设、执行情况的调查分析如下：该《办法》的执行情况较好，社会办养老福利机构管理状况得到了改善，基本实现了《办法》规范社会办养老福利机构管理，维护社会办养老福利机构及老年人的合法权益，促进社会养老福利事业发展</w:t>
      </w:r>
      <w:r>
        <w:rPr>
          <w:rFonts w:ascii="Times New Roman" w:hAnsi="Times New Roman" w:eastAsia="宋体" w:cs="Times New Roman"/>
          <w:szCs w:val="21"/>
        </w:rPr>
        <w:t>”</w:t>
      </w:r>
      <w:r>
        <w:rPr>
          <w:rFonts w:hint="eastAsia" w:ascii="Times New Roman" w:hAnsi="Times New Roman" w:eastAsia="宋体" w:cs="Times New Roman"/>
          <w:szCs w:val="21"/>
        </w:rPr>
        <w:t>的立法目的，提高了人们对社会办养老福利机构的意识作用，也增强了监管部门和从业人员的守法、执法程度，只有执法人员检查这一方面的执行情况存在瑕疵，社会各年龄、各职业、各学历的公众都对此方面认可程度相对较低；关于该办法的制度建设情况，该办法的制度的建设、执行情况基本能够被各个公众群体所认可，所以《武汉市社会办养老福利机构管理办法》制度建设情况良好，无重大瑕疵。</w:t>
      </w:r>
    </w:p>
    <w:p>
      <w:pPr>
        <w:spacing w:line="300" w:lineRule="auto"/>
        <w:ind w:firstLine="480" w:firstLineChars="200"/>
      </w:pPr>
      <w:r>
        <w:rPr>
          <w:rFonts w:hint="eastAsia"/>
        </w:rPr>
        <w:t>综上所述，《办法》推行至今，立法宣传贯彻情况存在一定瑕疵，主要问题是宣传与贯彻效果的不对称，无法完全贯彻落实办法，在宣传渠道的选择上存在贯彻力度不足的问题，此外针对不同的公众群体也存在宣传贯彻不均的情况；制度建设、执行情况存在一定的瑕疵，执行当中的主要问题集中在监管部门及执法人员执法检查情况当中，受到各个公众群体的认可程度较低，同时，应当进一步重视监督管理问题，加强监管部门的监管力度，保障老年人权益。</w:t>
      </w:r>
    </w:p>
    <w:p>
      <w:pPr>
        <w:spacing w:line="300" w:lineRule="auto"/>
        <w:ind w:firstLine="562" w:firstLineChars="200"/>
        <w:rPr>
          <w:b/>
          <w:bCs/>
          <w:sz w:val="28"/>
          <w:szCs w:val="28"/>
        </w:rPr>
      </w:pPr>
      <w:r>
        <w:rPr>
          <w:rFonts w:hint="eastAsia"/>
          <w:b/>
          <w:bCs/>
          <w:sz w:val="28"/>
          <w:szCs w:val="28"/>
        </w:rPr>
        <w:t>五、评估结论</w:t>
      </w:r>
    </w:p>
    <w:p>
      <w:pPr>
        <w:spacing w:line="300" w:lineRule="auto"/>
        <w:ind w:firstLine="480" w:firstLineChars="200"/>
      </w:pPr>
      <w:r>
        <w:rPr>
          <w:rFonts w:hint="eastAsia"/>
        </w:rPr>
        <w:t>（一）基本评价</w:t>
      </w:r>
    </w:p>
    <w:p>
      <w:pPr>
        <w:spacing w:line="300" w:lineRule="auto"/>
        <w:ind w:firstLine="480" w:firstLineChars="200"/>
      </w:pPr>
      <w:r>
        <w:rPr>
          <w:rFonts w:hint="eastAsia"/>
        </w:rPr>
        <w:t>《武汉市社会办养老福利机构管理办法》虽然在竞争专项评估当中不存在瑕疵性问题，但是在基础内容中发现内容合法性和立法技术存在瑕疵，成本收益衡量也存在不足，而在实施效果评估当中也发现立法宣传贯彻情况和制度建设、执行情况存在瑕疵性问题，故评估结论为《武汉市社会办养老福利机构管理办法》存在综合性瑕疵，亟待完善。</w:t>
      </w:r>
    </w:p>
    <w:p>
      <w:pPr>
        <w:spacing w:line="300" w:lineRule="auto"/>
        <w:ind w:firstLine="480" w:firstLineChars="200"/>
      </w:pPr>
      <w:r>
        <w:rPr>
          <w:rFonts w:hint="eastAsia"/>
        </w:rPr>
        <w:t>（二）处理建议</w:t>
      </w:r>
    </w:p>
    <w:p>
      <w:pPr>
        <w:spacing w:line="300" w:lineRule="auto"/>
        <w:ind w:firstLine="480" w:firstLineChars="200"/>
      </w:pPr>
      <w:r>
        <w:t>1.</w:t>
      </w:r>
      <w:r>
        <w:rPr>
          <w:rFonts w:hint="eastAsia"/>
        </w:rPr>
        <w:t>改进建议</w:t>
      </w:r>
    </w:p>
    <w:p>
      <w:pPr>
        <w:spacing w:line="300" w:lineRule="auto"/>
        <w:ind w:firstLine="480" w:firstLineChars="200"/>
      </w:pPr>
      <w:r>
        <w:rPr>
          <w:rFonts w:hint="eastAsia"/>
        </w:rPr>
        <w:t>《武汉市社会办养老福利机构管理办法》存在内容性瑕疵，既需要结合《养老机构设立许可办法》和《养老机构管理办法》作服从上位法的修改，也要根据立法技术规范和成本效益评估对规定进行改进。</w:t>
      </w:r>
    </w:p>
    <w:p>
      <w:pPr>
        <w:spacing w:line="300" w:lineRule="auto"/>
        <w:ind w:firstLine="480" w:firstLineChars="200"/>
      </w:pPr>
      <w:r>
        <w:rPr>
          <w:rFonts w:hint="eastAsia"/>
        </w:rPr>
        <w:t>《武汉市社会办养老福利机构管理办法》存在实施性瑕疵，在立法宣传贯彻问题上把握好宣传渠道的应用和选择的同时，合理强化立法宣传贯彻效果，在制度建设和执行问题上制定更加细化和严格的监督管理机构执法人员行为标准和及时的反馈机制。</w:t>
      </w:r>
    </w:p>
    <w:p>
      <w:pPr>
        <w:spacing w:line="300" w:lineRule="auto"/>
        <w:ind w:firstLine="480" w:firstLineChars="200"/>
      </w:pPr>
      <w:r>
        <w:t>2.</w:t>
      </w:r>
      <w:r>
        <w:rPr>
          <w:rFonts w:hint="eastAsia"/>
        </w:rPr>
        <w:t>具体改进方案</w:t>
      </w:r>
    </w:p>
    <w:p>
      <w:pPr>
        <w:spacing w:line="300" w:lineRule="auto"/>
        <w:ind w:firstLine="480" w:firstLineChars="200"/>
      </w:pPr>
      <w:r>
        <w:rPr>
          <w:rFonts w:hint="eastAsia"/>
        </w:rPr>
        <w:t>民政部办公厅于</w:t>
      </w:r>
      <w:r>
        <w:t>2018</w:t>
      </w:r>
      <w:r>
        <w:rPr>
          <w:rFonts w:hint="eastAsia"/>
        </w:rPr>
        <w:t>年</w:t>
      </w:r>
      <w:r>
        <w:t>7</w:t>
      </w:r>
      <w:r>
        <w:rPr>
          <w:rFonts w:hint="eastAsia"/>
        </w:rPr>
        <w:t>月</w:t>
      </w:r>
      <w:r>
        <w:t>25</w:t>
      </w:r>
      <w:r>
        <w:rPr>
          <w:rFonts w:hint="eastAsia"/>
        </w:rPr>
        <w:t>日发布的《关于贯彻落实国务院常务会议精神做好取消养老机构设立许可有关衔接工作的通知》（民办函〔</w:t>
      </w:r>
      <w:r>
        <w:t>2018</w:t>
      </w:r>
      <w:r>
        <w:rPr>
          <w:rFonts w:hint="eastAsia"/>
        </w:rPr>
        <w:t>〕</w:t>
      </w:r>
      <w:r>
        <w:t>105</w:t>
      </w:r>
      <w:r>
        <w:rPr>
          <w:rFonts w:hint="eastAsia"/>
        </w:rPr>
        <w:t>号）（以下简称《通知》）中规定，“各地区要全面梳理本地区与养老机构设立许可相关联的政策制度，逐项研究取消许可后的具体调整办法，确保取消许可实施后，相关政策平稳过渡”，根据此规定，目前针对《办法》的修改方向，更重要的是要做好与后续出台的相关政策的衔接工作。</w:t>
      </w:r>
    </w:p>
    <w:p>
      <w:pPr>
        <w:spacing w:line="300" w:lineRule="auto"/>
        <w:ind w:firstLine="480" w:firstLineChars="200"/>
      </w:pPr>
      <w:r>
        <w:rPr>
          <w:rFonts w:hint="eastAsia"/>
        </w:rPr>
        <w:t>（</w:t>
      </w:r>
      <w:r>
        <w:t>1</w:t>
      </w:r>
      <w:r>
        <w:rPr>
          <w:rFonts w:hint="eastAsia"/>
        </w:rPr>
        <w:t>）首先应当确定，取消养老机构设立许可的目的在于进一步深化养老服务业的“放、管、服”改革，优化养老服务业的经营环境，并进一步激发养老服务业创新活力。此举措可以非常有力的的解决养老服务市场不够开放、鼓励社会力量参与的政策落实不到位等问题。</w:t>
      </w:r>
    </w:p>
    <w:p>
      <w:pPr>
        <w:spacing w:line="300" w:lineRule="auto"/>
        <w:ind w:firstLine="480" w:firstLineChars="200"/>
      </w:pPr>
      <w:r>
        <w:rPr>
          <w:rFonts w:hint="eastAsia"/>
        </w:rPr>
        <w:t>（</w:t>
      </w:r>
      <w:r>
        <w:t>2</w:t>
      </w:r>
      <w:r>
        <w:rPr>
          <w:rFonts w:hint="eastAsia"/>
        </w:rPr>
        <w:t>）民政部门作为养老机构设立事前指导、事中事后监管的主要职责部门，在取消养老机构设立许可之后，民政部门监管的方向就会主要集中在事中和事后监管，此时要采取更加有效的措施加强监管力量，并且会同相关部门建立综合监管机制，创新监管方式，以保持行业安全运行和稳定发展。</w:t>
      </w:r>
    </w:p>
    <w:p>
      <w:pPr>
        <w:spacing w:line="300" w:lineRule="auto"/>
        <w:ind w:firstLine="480" w:firstLineChars="200"/>
      </w:pPr>
      <w:r>
        <w:rPr>
          <w:rFonts w:hint="eastAsia"/>
        </w:rPr>
        <w:t>（</w:t>
      </w:r>
      <w:r>
        <w:t>3</w:t>
      </w:r>
      <w:r>
        <w:rPr>
          <w:rFonts w:hint="eastAsia"/>
        </w:rPr>
        <w:t>）要加强对未获设立许可的养老机构分类处置。“许可难”一直是养老机构运营的痛点，对于运营规范、符合要求但由于国家政策导致无法办理行政许可的这些养老机构，应由县区民政部门提请本级人民政府研究妥善解决养老机构办理行政许可的相关问题，激发社会力量兴办养老机构的积极性。</w:t>
      </w:r>
    </w:p>
    <w:p>
      <w:pPr>
        <w:spacing w:line="300" w:lineRule="auto"/>
        <w:ind w:firstLine="480" w:firstLineChars="200"/>
      </w:pPr>
      <w:r>
        <w:rPr>
          <w:rFonts w:hint="eastAsia"/>
        </w:rPr>
        <w:t>（</w:t>
      </w:r>
      <w:r>
        <w:t>4</w:t>
      </w:r>
      <w:r>
        <w:rPr>
          <w:rFonts w:hint="eastAsia"/>
        </w:rPr>
        <w:t>）在取消养老机构设立许可正式实施后，要继续保留《办法》中符合法律规定又有利于养老机构管理、运营的现有政策，同时终止其他相关联政策。</w:t>
      </w:r>
    </w:p>
    <w:p>
      <w:pPr>
        <w:spacing w:line="300" w:lineRule="auto"/>
        <w:ind w:firstLine="480" w:firstLineChars="200"/>
      </w:pPr>
      <w:r>
        <w:rPr>
          <w:rFonts w:hint="eastAsia"/>
        </w:rPr>
        <w:t>按照习近平总书记关于“凡属重大改革都要于法有据”的要求，取消养老机构设立许可要在修订《中华人民共和国老年人权益保障法》相关规定后正式实施。在正式实施前，养老机构设立许可事项继续有效，武汉市仍要按照现行法律规定和《办法》中明确的条件和程序，依法依规做好养老机构设立许可工作，继续落实好“放管服”改革提出的各项便民利民措施。而更深入的修改和调整，由于涉及到后续出台的国家政策的具体内容，仍需等待相关政策的的确定后方能进行。</w:t>
      </w:r>
    </w:p>
    <w:p>
      <w:pPr>
        <w:spacing w:line="300" w:lineRule="auto"/>
        <w:ind w:firstLine="480" w:firstLineChars="200"/>
      </w:pPr>
      <w:r>
        <w:rPr>
          <w:rFonts w:hint="eastAsia"/>
        </w:rPr>
        <w:t>根据《通知》精神，在新规定未出台之前，仍适用《办法》。现仅将对《办法》过往实施评估情况进行调研后得出的修改建议附上，希望能在之后的衔接工作中起到可供参考的作用：</w:t>
      </w:r>
    </w:p>
    <w:p>
      <w:pPr>
        <w:spacing w:line="300" w:lineRule="auto"/>
        <w:ind w:firstLine="480" w:firstLineChars="200"/>
      </w:pPr>
      <w:r>
        <w:rPr>
          <w:rFonts w:hint="eastAsia"/>
        </w:rPr>
        <w:t>第一，内容合法性的改进</w:t>
      </w:r>
    </w:p>
    <w:p>
      <w:pPr>
        <w:spacing w:line="300" w:lineRule="auto"/>
        <w:ind w:firstLine="480" w:firstLineChars="200"/>
      </w:pPr>
      <w:r>
        <w:rPr>
          <w:rFonts w:hint="eastAsia"/>
        </w:rPr>
        <w:t>（</w:t>
      </w:r>
      <w:r>
        <w:t>1</w:t>
      </w:r>
      <w:r>
        <w:rPr>
          <w:rFonts w:hint="eastAsia"/>
        </w:rPr>
        <w:t>）《办法》第二十二条增加“符合民族风俗习惯”的内容</w:t>
      </w:r>
    </w:p>
    <w:p>
      <w:pPr>
        <w:spacing w:line="300" w:lineRule="auto"/>
        <w:ind w:firstLine="480" w:firstLineChars="200"/>
      </w:pPr>
      <w:r>
        <w:rPr>
          <w:rFonts w:hint="eastAsia"/>
        </w:rPr>
        <w:t>（</w:t>
      </w:r>
      <w:r>
        <w:t>2</w:t>
      </w:r>
      <w:r>
        <w:rPr>
          <w:rFonts w:hint="eastAsia"/>
        </w:rPr>
        <w:t>）《办法》第十七条中提前报告的时间由</w:t>
      </w:r>
      <w:r>
        <w:t>30</w:t>
      </w:r>
      <w:r>
        <w:rPr>
          <w:rFonts w:hint="eastAsia"/>
        </w:rPr>
        <w:t>日改成</w:t>
      </w:r>
      <w:r>
        <w:t>60</w:t>
      </w:r>
      <w:r>
        <w:rPr>
          <w:rFonts w:hint="eastAsia"/>
        </w:rPr>
        <w:t>日。</w:t>
      </w:r>
    </w:p>
    <w:p>
      <w:pPr>
        <w:spacing w:line="300" w:lineRule="auto"/>
        <w:ind w:firstLine="480" w:firstLineChars="200"/>
      </w:pPr>
      <w:r>
        <w:rPr>
          <w:rFonts w:hint="eastAsia"/>
        </w:rPr>
        <w:t>（</w:t>
      </w:r>
      <w:r>
        <w:t>3</w:t>
      </w:r>
      <w:r>
        <w:rPr>
          <w:rFonts w:hint="eastAsia"/>
        </w:rPr>
        <w:t>）《办法》的责任类型修改为“由实施许可的民政部门责令改正；情节严重的，处以</w:t>
      </w:r>
      <w:r>
        <w:t>3</w:t>
      </w:r>
      <w:r>
        <w:rPr>
          <w:rFonts w:hint="eastAsia"/>
        </w:rPr>
        <w:t>万元以下的罚款；构成犯罪的，依法追究刑事责任。”</w:t>
      </w:r>
    </w:p>
    <w:p>
      <w:pPr>
        <w:spacing w:line="300" w:lineRule="auto"/>
        <w:ind w:firstLine="480" w:firstLineChars="200"/>
      </w:pPr>
      <w:r>
        <w:rPr>
          <w:rFonts w:hint="eastAsia"/>
        </w:rPr>
        <w:t>（</w:t>
      </w:r>
      <w:r>
        <w:t>4</w:t>
      </w:r>
      <w:r>
        <w:rPr>
          <w:rFonts w:hint="eastAsia"/>
        </w:rPr>
        <w:t>）《办法》第五条规定“区民政部门具体负责本行政区域内社会办养老福利机构的批准、登记和管理工作。”修改为“设区的市人民政府民政部门可以委托市辖区人民政府民政部门实施许可”</w:t>
      </w:r>
    </w:p>
    <w:p>
      <w:pPr>
        <w:spacing w:line="300" w:lineRule="auto"/>
        <w:ind w:firstLine="480" w:firstLineChars="200"/>
      </w:pPr>
      <w:r>
        <w:rPr>
          <w:rFonts w:hint="eastAsia"/>
        </w:rPr>
        <w:t>（</w:t>
      </w:r>
      <w:r>
        <w:t>5</w:t>
      </w:r>
      <w:r>
        <w:rPr>
          <w:rFonts w:hint="eastAsia"/>
        </w:rPr>
        <w:t>）《办法》第二十四条修改为“民办非营利性养老机构服务收费标准由经营者合理确定，价格主管部门会同民政部门对其财务收支状况、收费项目和调价频次进行必要监管，同时加强对价格水平的监测分析。”</w:t>
      </w:r>
    </w:p>
    <w:p>
      <w:pPr>
        <w:spacing w:line="300" w:lineRule="auto"/>
        <w:ind w:firstLine="480" w:firstLineChars="200"/>
      </w:pPr>
      <w:r>
        <w:rPr>
          <w:rFonts w:hint="eastAsia"/>
        </w:rPr>
        <w:t>（</w:t>
      </w:r>
      <w:r>
        <w:t>6</w:t>
      </w:r>
      <w:r>
        <w:rPr>
          <w:rFonts w:hint="eastAsia"/>
        </w:rPr>
        <w:t>）《办法》第二十九条中的优惠政策规定中加入土地政策的相关内容。</w:t>
      </w:r>
    </w:p>
    <w:p>
      <w:pPr>
        <w:spacing w:line="300" w:lineRule="auto"/>
        <w:ind w:firstLine="480" w:firstLineChars="200"/>
      </w:pPr>
      <w:r>
        <w:rPr>
          <w:rFonts w:hint="eastAsia"/>
        </w:rPr>
        <w:t>（</w:t>
      </w:r>
      <w:r>
        <w:t>7</w:t>
      </w:r>
      <w:r>
        <w:rPr>
          <w:rFonts w:hint="eastAsia"/>
        </w:rPr>
        <w:t>）《办法》第二十九条中加入“对参加养老服务技能培训或创业培训且培训合格的劳动者，按规定给予培训补贴。”</w:t>
      </w:r>
    </w:p>
    <w:p>
      <w:pPr>
        <w:spacing w:line="300" w:lineRule="auto"/>
        <w:ind w:firstLine="480" w:firstLineChars="200"/>
      </w:pPr>
      <w:r>
        <w:rPr>
          <w:rFonts w:hint="eastAsia"/>
        </w:rPr>
        <w:t>第二，立法技术规范的改进</w:t>
      </w:r>
    </w:p>
    <w:p>
      <w:pPr>
        <w:spacing w:line="300" w:lineRule="auto"/>
        <w:ind w:firstLine="480" w:firstLineChars="200"/>
      </w:pPr>
      <w:r>
        <w:rPr>
          <w:rFonts w:hint="eastAsia"/>
        </w:rPr>
        <w:t>（</w:t>
      </w:r>
      <w:r>
        <w:t>1</w:t>
      </w:r>
      <w:r>
        <w:rPr>
          <w:rFonts w:hint="eastAsia"/>
        </w:rPr>
        <w:t>）《办法》名称中“福利”一词应当删去。</w:t>
      </w:r>
    </w:p>
    <w:p>
      <w:pPr>
        <w:spacing w:line="300" w:lineRule="auto"/>
        <w:ind w:firstLine="480" w:firstLineChars="200"/>
      </w:pPr>
      <w:r>
        <w:rPr>
          <w:rFonts w:hint="eastAsia"/>
        </w:rPr>
        <w:t>（</w:t>
      </w:r>
      <w:r>
        <w:t>2</w:t>
      </w:r>
      <w:r>
        <w:rPr>
          <w:rFonts w:hint="eastAsia"/>
        </w:rPr>
        <w:t>）将《办法》第三十七条、三十八条中“撤销《社会福利机构设置批准证书》”这一责任的行为在第四十一条中统一。</w:t>
      </w:r>
    </w:p>
    <w:p>
      <w:pPr>
        <w:spacing w:line="300" w:lineRule="auto"/>
        <w:ind w:firstLine="480" w:firstLineChars="200"/>
      </w:pPr>
      <w:r>
        <w:rPr>
          <w:rFonts w:hint="eastAsia"/>
        </w:rPr>
        <w:t>（</w:t>
      </w:r>
      <w:r>
        <w:t>3</w:t>
      </w:r>
      <w:r>
        <w:rPr>
          <w:rFonts w:hint="eastAsia"/>
        </w:rPr>
        <w:t>）对《办法》在第三十四条第一款规定暂停优惠政策后的内容进行补充。</w:t>
      </w:r>
    </w:p>
    <w:p>
      <w:pPr>
        <w:spacing w:line="300" w:lineRule="auto"/>
        <w:ind w:firstLine="480" w:firstLineChars="200"/>
      </w:pPr>
      <w:r>
        <w:rPr>
          <w:rFonts w:hint="eastAsia"/>
        </w:rPr>
        <w:t>（</w:t>
      </w:r>
      <w:r>
        <w:t>4</w:t>
      </w:r>
      <w:r>
        <w:rPr>
          <w:rFonts w:hint="eastAsia"/>
        </w:rPr>
        <w:t>）《办法》在第十五条中规定“一并核发《社会福利机构设置批准证书》和《民办非企业单位登记证书》”修改为“核发《社会福利机构设置批准证书》、给予民办非企业单位登记。”</w:t>
      </w:r>
    </w:p>
    <w:p>
      <w:pPr>
        <w:spacing w:line="300" w:lineRule="auto"/>
        <w:ind w:firstLine="480" w:firstLineChars="200"/>
      </w:pPr>
      <w:r>
        <w:rPr>
          <w:rFonts w:hint="eastAsia"/>
        </w:rPr>
        <w:t>（</w:t>
      </w:r>
      <w:r>
        <w:t>5</w:t>
      </w:r>
      <w:r>
        <w:rPr>
          <w:rFonts w:hint="eastAsia"/>
        </w:rPr>
        <w:t>）对《办法》在第三十七条中规定“区民政部门应当按照国家规定对辖区内社会办养老福利机构的《社会福利机构设置批准证书》进行年度检查”内容进行细化。</w:t>
      </w:r>
    </w:p>
    <w:p>
      <w:pPr>
        <w:spacing w:line="300" w:lineRule="auto"/>
        <w:ind w:firstLine="480" w:firstLineChars="200"/>
      </w:pPr>
      <w:r>
        <w:rPr>
          <w:rFonts w:hint="eastAsia"/>
        </w:rPr>
        <w:t>（</w:t>
      </w:r>
      <w:r>
        <w:t>6</w:t>
      </w:r>
      <w:r>
        <w:rPr>
          <w:rFonts w:hint="eastAsia"/>
        </w:rPr>
        <w:t>）对《办法》中第一条、第十七条以及第三十五条和第四十条的模糊性规定进行细化。</w:t>
      </w:r>
    </w:p>
    <w:p>
      <w:pPr>
        <w:spacing w:line="300" w:lineRule="auto"/>
        <w:ind w:firstLine="480" w:firstLineChars="200"/>
      </w:pPr>
      <w:r>
        <w:rPr>
          <w:rFonts w:hint="eastAsia"/>
        </w:rPr>
        <w:t>第三，成本效益的改进</w:t>
      </w:r>
    </w:p>
    <w:p>
      <w:pPr>
        <w:spacing w:line="300" w:lineRule="auto"/>
        <w:ind w:firstLine="480" w:firstLineChars="200"/>
      </w:pPr>
      <w:r>
        <w:rPr>
          <w:rFonts w:hint="eastAsia"/>
        </w:rPr>
        <w:t>（</w:t>
      </w:r>
      <w:r>
        <w:t>1</w:t>
      </w:r>
      <w:r>
        <w:rPr>
          <w:rFonts w:hint="eastAsia"/>
        </w:rPr>
        <w:t>）对《办法》第二十七条的资质规定中的生活护理、炊事类的要求进行适度放宽。</w:t>
      </w:r>
    </w:p>
    <w:p>
      <w:pPr>
        <w:spacing w:line="300" w:lineRule="auto"/>
        <w:ind w:firstLine="480" w:firstLineChars="200"/>
      </w:pPr>
      <w:r>
        <w:rPr>
          <w:rFonts w:hint="eastAsia"/>
        </w:rPr>
        <w:t>（</w:t>
      </w:r>
      <w:r>
        <w:t>2</w:t>
      </w:r>
      <w:r>
        <w:rPr>
          <w:rFonts w:hint="eastAsia"/>
        </w:rPr>
        <w:t>）对《办法》第十三条的规定进行适度放宽，材料出现问题的允许一段补充改正时间。</w:t>
      </w:r>
    </w:p>
    <w:p>
      <w:pPr>
        <w:spacing w:line="300" w:lineRule="auto"/>
        <w:ind w:firstLine="480" w:firstLineChars="200"/>
      </w:pPr>
      <w:r>
        <w:rPr>
          <w:rFonts w:hint="eastAsia"/>
        </w:rPr>
        <w:t>（</w:t>
      </w:r>
      <w:r>
        <w:t>3</w:t>
      </w:r>
      <w:r>
        <w:rPr>
          <w:rFonts w:hint="eastAsia"/>
        </w:rPr>
        <w:t>）将《办法》第三十三条的规定修改为原则性的条款，即“社会办养老福利机构应当按照民政部门规定的条件和时间向所在地区民政部门提出资助申请。”</w:t>
      </w:r>
    </w:p>
    <w:p>
      <w:pPr>
        <w:spacing w:line="300" w:lineRule="auto"/>
        <w:ind w:firstLine="480" w:firstLineChars="200"/>
      </w:pPr>
      <w:r>
        <w:rPr>
          <w:rFonts w:hint="eastAsia"/>
        </w:rPr>
        <w:t>（</w:t>
      </w:r>
      <w:r>
        <w:t>4</w:t>
      </w:r>
      <w:r>
        <w:rPr>
          <w:rFonts w:hint="eastAsia"/>
        </w:rPr>
        <w:t>）对《办法》第三十四条各监督主体的监督范围与权限作详细的规定（除工商部门、公安部门、卫生部门、物价部门之外的其他部门）。</w:t>
      </w:r>
    </w:p>
    <w:p>
      <w:pPr>
        <w:spacing w:line="300" w:lineRule="auto"/>
        <w:ind w:firstLine="480" w:firstLineChars="200"/>
      </w:pPr>
      <w:r>
        <w:rPr>
          <w:rFonts w:hint="eastAsia"/>
        </w:rPr>
        <w:t>（</w:t>
      </w:r>
      <w:r>
        <w:t>5</w:t>
      </w:r>
      <w:r>
        <w:rPr>
          <w:rFonts w:hint="eastAsia"/>
        </w:rPr>
        <w:t>）将《办法》第二十二条第二款“社会办养老福利机构不得擅自改变其主要场地和设施的用途”修改为“社会办养老福利机构改变其主要场地和设施的用途的应经入住老人及其家属的共同协商，并于民政部门备案”。</w:t>
      </w:r>
    </w:p>
    <w:p>
      <w:pPr>
        <w:spacing w:line="300" w:lineRule="auto"/>
        <w:ind w:firstLine="480" w:firstLineChars="200"/>
      </w:pPr>
      <w:r>
        <w:rPr>
          <w:rFonts w:hint="eastAsia"/>
        </w:rPr>
        <w:t>（</w:t>
      </w:r>
      <w:r>
        <w:t>6</w:t>
      </w:r>
      <w:r>
        <w:rPr>
          <w:rFonts w:hint="eastAsia"/>
        </w:rPr>
        <w:t>）《办法》在第二十九条中适时添加对获得相关资质证书从事养老服务工作的人员发放一定的补贴的相关规定。</w:t>
      </w:r>
    </w:p>
    <w:p>
      <w:pPr>
        <w:spacing w:line="300" w:lineRule="auto"/>
        <w:ind w:firstLine="480" w:firstLineChars="200"/>
      </w:pPr>
      <w:r>
        <w:rPr>
          <w:rFonts w:hint="eastAsia"/>
        </w:rPr>
        <w:t>（</w:t>
      </w:r>
      <w:r>
        <w:t>7</w:t>
      </w:r>
      <w:r>
        <w:rPr>
          <w:rFonts w:hint="eastAsia"/>
        </w:rPr>
        <w:t>）《办法》在“资助扶持”一章中适当加进对营利性养老机构的优惠政策或资金资助的规定。</w:t>
      </w:r>
    </w:p>
    <w:p>
      <w:pPr>
        <w:spacing w:line="300" w:lineRule="auto"/>
        <w:ind w:firstLine="480" w:firstLineChars="200"/>
      </w:pPr>
      <w:r>
        <w:rPr>
          <w:rFonts w:hint="eastAsia"/>
        </w:rPr>
        <w:t>第四，立法宣传贯彻改进方案</w:t>
      </w:r>
    </w:p>
    <w:p>
      <w:pPr>
        <w:spacing w:line="300" w:lineRule="auto"/>
        <w:ind w:firstLine="480" w:firstLineChars="200"/>
      </w:pPr>
      <w:r>
        <w:rPr>
          <w:rFonts w:hint="eastAsia"/>
        </w:rPr>
        <w:t>（</w:t>
      </w:r>
      <w:r>
        <w:t>1</w:t>
      </w:r>
      <w:r>
        <w:rPr>
          <w:rFonts w:hint="eastAsia"/>
        </w:rPr>
        <w:t>）宣传渠道选择：主流媒体与政府部门宣传相结合</w:t>
      </w:r>
    </w:p>
    <w:p>
      <w:pPr>
        <w:spacing w:line="300" w:lineRule="auto"/>
        <w:ind w:firstLine="480" w:firstLineChars="200"/>
      </w:pPr>
      <w:r>
        <w:rPr>
          <w:rFonts w:hint="eastAsia"/>
        </w:rPr>
        <w:t>（</w:t>
      </w:r>
      <w:r>
        <w:t>2</w:t>
      </w:r>
      <w:r>
        <w:rPr>
          <w:rFonts w:hint="eastAsia"/>
        </w:rPr>
        <w:t>）宣传贯彻方案</w:t>
      </w:r>
    </w:p>
    <w:p>
      <w:pPr>
        <w:spacing w:line="300" w:lineRule="auto"/>
        <w:ind w:firstLine="480" w:firstLineChars="200"/>
      </w:pPr>
      <w:r>
        <w:rPr>
          <w:rFonts w:hint="eastAsia"/>
        </w:rPr>
        <w:t>将民政部门和政府法制部门等其他有关部门宣传内容融入主流媒体（报刊杂志、广播电视、网络）中进行大规模宣传，通过制作相关网络宣传科普视频、在地方电视台设置相关立法访谈和互动栏目，在报刊杂志开设专栏等方式深入的向社会公众讲解立法过程、立法目的以及相关规章制度。</w:t>
      </w:r>
    </w:p>
    <w:p>
      <w:pPr>
        <w:spacing w:line="300" w:lineRule="auto"/>
        <w:ind w:firstLine="480" w:firstLineChars="200"/>
      </w:pPr>
      <w:r>
        <w:rPr>
          <w:rFonts w:hint="eastAsia"/>
        </w:rPr>
        <w:t>政府部门针对老年人和无业人员的宣传可以定期开展立法宣传及案例讲解进社区的活动，加强对这类社会公众的宣传贯彻效果，同时针对在校学生也应当定期开展立法宣传课堂和案例讲解课堂以达到宣传贯彻效果，此外针对在职的工作人员可以采取组织学习和经验交流的活动。</w:t>
      </w:r>
    </w:p>
    <w:p>
      <w:pPr>
        <w:spacing w:line="300" w:lineRule="auto"/>
        <w:ind w:firstLine="480" w:firstLineChars="200"/>
      </w:pPr>
      <w:r>
        <w:rPr>
          <w:rFonts w:hint="eastAsia"/>
        </w:rPr>
        <w:t>第五，制度建设、执行改进方案</w:t>
      </w:r>
    </w:p>
    <w:p>
      <w:pPr>
        <w:spacing w:line="300" w:lineRule="auto"/>
        <w:ind w:firstLine="480" w:firstLineChars="200"/>
      </w:pPr>
      <w:r>
        <w:rPr>
          <w:rFonts w:hint="eastAsia"/>
        </w:rPr>
        <w:t>（</w:t>
      </w:r>
      <w:r>
        <w:t>1</w:t>
      </w:r>
      <w:r>
        <w:rPr>
          <w:rFonts w:hint="eastAsia"/>
        </w:rPr>
        <w:t>）严格执法行为规范改进意见</w:t>
      </w:r>
    </w:p>
    <w:p>
      <w:pPr>
        <w:spacing w:line="300" w:lineRule="auto"/>
        <w:ind w:firstLine="480" w:firstLineChars="200"/>
      </w:pPr>
      <w:r>
        <w:rPr>
          <w:rFonts w:hint="eastAsia"/>
        </w:rPr>
        <w:t>①提高执法人员执法资格和专业要求，定期进行考核；</w:t>
      </w:r>
    </w:p>
    <w:p>
      <w:pPr>
        <w:spacing w:line="300" w:lineRule="auto"/>
        <w:ind w:firstLine="480" w:firstLineChars="200"/>
      </w:pPr>
      <w:r>
        <w:rPr>
          <w:rFonts w:hint="eastAsia"/>
        </w:rPr>
        <w:t>②统一规范执法人员的仪容规范；</w:t>
      </w:r>
    </w:p>
    <w:p>
      <w:pPr>
        <w:spacing w:line="300" w:lineRule="auto"/>
        <w:ind w:firstLine="480" w:firstLineChars="200"/>
      </w:pPr>
      <w:r>
        <w:rPr>
          <w:rFonts w:hint="eastAsia"/>
        </w:rPr>
        <w:t>③进行执法和检查行动时应当告知相对人行动依据、内容、要求以及程序。</w:t>
      </w:r>
    </w:p>
    <w:p>
      <w:pPr>
        <w:spacing w:line="300" w:lineRule="auto"/>
        <w:ind w:firstLine="480" w:firstLineChars="200"/>
      </w:pPr>
      <w:r>
        <w:rPr>
          <w:rFonts w:hint="eastAsia"/>
        </w:rPr>
        <w:t>（</w:t>
      </w:r>
      <w:r>
        <w:t>2</w:t>
      </w:r>
      <w:r>
        <w:rPr>
          <w:rFonts w:hint="eastAsia"/>
        </w:rPr>
        <w:t>）建立及时反馈机制</w:t>
      </w:r>
    </w:p>
    <w:p>
      <w:pPr>
        <w:spacing w:line="300" w:lineRule="auto"/>
        <w:ind w:firstLine="480" w:firstLineChars="200"/>
      </w:pPr>
      <w:r>
        <w:rPr>
          <w:rFonts w:hint="eastAsia"/>
        </w:rPr>
        <w:t>建立及时反馈机制，应当设立专门反馈平台和信息收集人员，平台实时更新信息，当执法人员在执法和进行检查时出现了不合理和不合规的情况时，所有社会公众都应当可以通过相应的渠道进行及时反馈，通过对反馈信息的整合来进一步规范执法人员的执法行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D6FED"/>
    <w:rsid w:val="000B37AA"/>
    <w:rsid w:val="00FD6FED"/>
    <w:rsid w:val="366C3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99" w:name="Normal Indent"/>
    <w:lsdException w:uiPriority="99" w:name="footnote text"/>
    <w:lsdException w:uiPriority="99" w:name="annotation text"/>
    <w:lsdException w:qFormat="1" w:uiPriority="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25"/>
    <w:qFormat/>
    <w:uiPriority w:val="9"/>
    <w:pPr>
      <w:keepNext/>
      <w:keepLines/>
      <w:spacing w:before="340" w:after="330" w:line="576" w:lineRule="auto"/>
      <w:outlineLvl w:val="0"/>
    </w:pPr>
    <w:rPr>
      <w:b/>
      <w:bCs/>
      <w:kern w:val="44"/>
      <w:sz w:val="44"/>
      <w:szCs w:val="44"/>
    </w:rPr>
  </w:style>
  <w:style w:type="paragraph" w:styleId="3">
    <w:name w:val="heading 2"/>
    <w:basedOn w:val="1"/>
    <w:next w:val="1"/>
    <w:link w:val="26"/>
    <w:semiHidden/>
    <w:unhideWhenUsed/>
    <w:qFormat/>
    <w:uiPriority w:val="9"/>
    <w:pPr>
      <w:keepNext/>
      <w:keepLines/>
      <w:spacing w:line="500" w:lineRule="exact"/>
      <w:ind w:firstLine="200" w:firstLineChars="200"/>
      <w:outlineLvl w:val="1"/>
    </w:pPr>
    <w:rPr>
      <w:rFonts w:asciiTheme="majorHAnsi" w:hAnsiTheme="majorHAnsi" w:cstheme="majorBidi"/>
      <w:b/>
      <w:bCs/>
      <w:sz w:val="30"/>
      <w:szCs w:val="32"/>
    </w:rPr>
  </w:style>
  <w:style w:type="paragraph" w:styleId="4">
    <w:name w:val="heading 3"/>
    <w:basedOn w:val="1"/>
    <w:next w:val="1"/>
    <w:link w:val="27"/>
    <w:semiHidden/>
    <w:unhideWhenUsed/>
    <w:qFormat/>
    <w:uiPriority w:val="9"/>
    <w:pPr>
      <w:keepNext/>
      <w:keepLines/>
      <w:ind w:firstLine="200" w:firstLineChars="200"/>
      <w:outlineLvl w:val="2"/>
    </w:pPr>
    <w:rPr>
      <w:bCs/>
      <w:szCs w:val="32"/>
    </w:rPr>
  </w:style>
  <w:style w:type="character" w:default="1" w:styleId="18">
    <w:name w:val="Default Paragraph Font"/>
    <w:semiHidden/>
    <w:unhideWhenUsed/>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5">
    <w:name w:val="toc 7"/>
    <w:basedOn w:val="1"/>
    <w:next w:val="1"/>
    <w:semiHidden/>
    <w:unhideWhenUsed/>
    <w:qFormat/>
    <w:uiPriority w:val="0"/>
    <w:pPr>
      <w:ind w:left="1440"/>
      <w:jc w:val="left"/>
    </w:pPr>
    <w:rPr>
      <w:sz w:val="20"/>
      <w:szCs w:val="20"/>
    </w:rPr>
  </w:style>
  <w:style w:type="paragraph" w:styleId="6">
    <w:name w:val="toc 5"/>
    <w:basedOn w:val="1"/>
    <w:next w:val="1"/>
    <w:semiHidden/>
    <w:unhideWhenUsed/>
    <w:qFormat/>
    <w:uiPriority w:val="0"/>
    <w:pPr>
      <w:ind w:left="960"/>
      <w:jc w:val="left"/>
    </w:pPr>
    <w:rPr>
      <w:sz w:val="20"/>
      <w:szCs w:val="20"/>
    </w:rPr>
  </w:style>
  <w:style w:type="paragraph" w:styleId="7">
    <w:name w:val="toc 3"/>
    <w:basedOn w:val="1"/>
    <w:next w:val="1"/>
    <w:semiHidden/>
    <w:unhideWhenUsed/>
    <w:qFormat/>
    <w:uiPriority w:val="39"/>
    <w:pPr>
      <w:ind w:left="480"/>
      <w:jc w:val="left"/>
    </w:pPr>
    <w:rPr>
      <w:sz w:val="22"/>
      <w:szCs w:val="22"/>
    </w:rPr>
  </w:style>
  <w:style w:type="paragraph" w:styleId="8">
    <w:name w:val="toc 8"/>
    <w:basedOn w:val="1"/>
    <w:next w:val="1"/>
    <w:semiHidden/>
    <w:unhideWhenUsed/>
    <w:qFormat/>
    <w:uiPriority w:val="0"/>
    <w:pPr>
      <w:ind w:left="1680"/>
      <w:jc w:val="left"/>
    </w:pPr>
    <w:rPr>
      <w:sz w:val="20"/>
      <w:szCs w:val="20"/>
    </w:rPr>
  </w:style>
  <w:style w:type="paragraph" w:styleId="9">
    <w:name w:val="Balloon Text"/>
    <w:basedOn w:val="1"/>
    <w:link w:val="28"/>
    <w:semiHidden/>
    <w:unhideWhenUsed/>
    <w:qFormat/>
    <w:uiPriority w:val="0"/>
    <w:rPr>
      <w:sz w:val="18"/>
      <w:szCs w:val="18"/>
    </w:rPr>
  </w:style>
  <w:style w:type="paragraph" w:styleId="10">
    <w:name w:val="footer"/>
    <w:basedOn w:val="1"/>
    <w:link w:val="24"/>
    <w:semiHidden/>
    <w:unhideWhenUsed/>
    <w:qFormat/>
    <w:uiPriority w:val="99"/>
    <w:pPr>
      <w:tabs>
        <w:tab w:val="center" w:pos="4153"/>
        <w:tab w:val="right" w:pos="8306"/>
      </w:tabs>
      <w:snapToGrid w:val="0"/>
      <w:jc w:val="left"/>
    </w:pPr>
    <w:rPr>
      <w:sz w:val="18"/>
      <w:szCs w:val="18"/>
    </w:rPr>
  </w:style>
  <w:style w:type="paragraph" w:styleId="11">
    <w:name w:val="header"/>
    <w:basedOn w:val="1"/>
    <w:link w:val="23"/>
    <w:semiHidden/>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uiPriority w:val="39"/>
    <w:pPr>
      <w:spacing w:before="120"/>
      <w:jc w:val="left"/>
    </w:pPr>
    <w:rPr>
      <w:b/>
      <w:bCs/>
    </w:rPr>
  </w:style>
  <w:style w:type="paragraph" w:styleId="13">
    <w:name w:val="toc 4"/>
    <w:basedOn w:val="1"/>
    <w:next w:val="1"/>
    <w:semiHidden/>
    <w:unhideWhenUsed/>
    <w:qFormat/>
    <w:uiPriority w:val="0"/>
    <w:pPr>
      <w:ind w:left="720"/>
      <w:jc w:val="left"/>
    </w:pPr>
    <w:rPr>
      <w:sz w:val="20"/>
      <w:szCs w:val="20"/>
    </w:rPr>
  </w:style>
  <w:style w:type="paragraph" w:styleId="14">
    <w:name w:val="toc 6"/>
    <w:basedOn w:val="1"/>
    <w:next w:val="1"/>
    <w:semiHidden/>
    <w:unhideWhenUsed/>
    <w:qFormat/>
    <w:uiPriority w:val="0"/>
    <w:pPr>
      <w:ind w:left="1200"/>
      <w:jc w:val="left"/>
    </w:pPr>
    <w:rPr>
      <w:sz w:val="20"/>
      <w:szCs w:val="20"/>
    </w:rPr>
  </w:style>
  <w:style w:type="paragraph" w:styleId="15">
    <w:name w:val="toc 2"/>
    <w:basedOn w:val="1"/>
    <w:next w:val="1"/>
    <w:semiHidden/>
    <w:unhideWhenUsed/>
    <w:qFormat/>
    <w:uiPriority w:val="39"/>
    <w:pPr>
      <w:ind w:left="240"/>
      <w:jc w:val="left"/>
    </w:pPr>
    <w:rPr>
      <w:b/>
      <w:bCs/>
      <w:sz w:val="22"/>
      <w:szCs w:val="22"/>
    </w:rPr>
  </w:style>
  <w:style w:type="paragraph" w:styleId="16">
    <w:name w:val="toc 9"/>
    <w:basedOn w:val="1"/>
    <w:next w:val="1"/>
    <w:semiHidden/>
    <w:unhideWhenUsed/>
    <w:qFormat/>
    <w:uiPriority w:val="0"/>
    <w:pPr>
      <w:ind w:left="1920"/>
      <w:jc w:val="left"/>
    </w:pPr>
    <w:rPr>
      <w:sz w:val="20"/>
      <w:szCs w:val="20"/>
    </w:rPr>
  </w:style>
  <w:style w:type="paragraph" w:styleId="17">
    <w:name w:val="Normal (Web)"/>
    <w:basedOn w:val="1"/>
    <w:semiHidden/>
    <w:unhideWhenUsed/>
    <w:qFormat/>
    <w:uiPriority w:val="0"/>
    <w:pPr>
      <w:spacing w:before="100" w:beforeAutospacing="1" w:after="100" w:afterAutospacing="1"/>
      <w:jc w:val="left"/>
    </w:pPr>
    <w:rPr>
      <w:rFonts w:cs="Times New Roman"/>
      <w:kern w:val="0"/>
    </w:rPr>
  </w:style>
  <w:style w:type="character" w:styleId="19">
    <w:name w:val="FollowedHyperlink"/>
    <w:basedOn w:val="18"/>
    <w:semiHidden/>
    <w:unhideWhenUsed/>
    <w:qFormat/>
    <w:uiPriority w:val="99"/>
    <w:rPr>
      <w:color w:val="800080" w:themeColor="followedHyperlink"/>
      <w:u w:val="single"/>
    </w:rPr>
  </w:style>
  <w:style w:type="character" w:styleId="20">
    <w:name w:val="Hyperlink"/>
    <w:basedOn w:val="18"/>
    <w:semiHidden/>
    <w:unhideWhenUsed/>
    <w:qFormat/>
    <w:uiPriority w:val="99"/>
    <w:rPr>
      <w:color w:val="0000FF"/>
      <w:u w:val="single"/>
    </w:rPr>
  </w:style>
  <w:style w:type="table" w:styleId="22">
    <w:name w:val="Table Grid"/>
    <w:basedOn w:val="21"/>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页眉 Char"/>
    <w:basedOn w:val="18"/>
    <w:link w:val="11"/>
    <w:semiHidden/>
    <w:uiPriority w:val="0"/>
    <w:rPr>
      <w:sz w:val="18"/>
      <w:szCs w:val="18"/>
    </w:rPr>
  </w:style>
  <w:style w:type="character" w:customStyle="1" w:styleId="24">
    <w:name w:val="页脚 Char"/>
    <w:basedOn w:val="18"/>
    <w:link w:val="10"/>
    <w:semiHidden/>
    <w:uiPriority w:val="99"/>
    <w:rPr>
      <w:sz w:val="18"/>
      <w:szCs w:val="18"/>
    </w:rPr>
  </w:style>
  <w:style w:type="character" w:customStyle="1" w:styleId="25">
    <w:name w:val="标题 1 Char"/>
    <w:basedOn w:val="18"/>
    <w:link w:val="2"/>
    <w:uiPriority w:val="9"/>
    <w:rPr>
      <w:b/>
      <w:bCs/>
      <w:kern w:val="44"/>
      <w:sz w:val="44"/>
      <w:szCs w:val="44"/>
    </w:rPr>
  </w:style>
  <w:style w:type="character" w:customStyle="1" w:styleId="26">
    <w:name w:val="标题 2 Char"/>
    <w:basedOn w:val="18"/>
    <w:link w:val="3"/>
    <w:semiHidden/>
    <w:uiPriority w:val="9"/>
    <w:rPr>
      <w:rFonts w:asciiTheme="majorHAnsi" w:hAnsiTheme="majorHAnsi" w:cstheme="majorBidi"/>
      <w:b/>
      <w:bCs/>
      <w:sz w:val="30"/>
      <w:szCs w:val="32"/>
    </w:rPr>
  </w:style>
  <w:style w:type="character" w:customStyle="1" w:styleId="27">
    <w:name w:val="标题 3 Char"/>
    <w:basedOn w:val="18"/>
    <w:link w:val="4"/>
    <w:semiHidden/>
    <w:uiPriority w:val="9"/>
    <w:rPr>
      <w:bCs/>
      <w:sz w:val="24"/>
      <w:szCs w:val="32"/>
    </w:rPr>
  </w:style>
  <w:style w:type="character" w:customStyle="1" w:styleId="28">
    <w:name w:val="批注框文本 Char"/>
    <w:basedOn w:val="18"/>
    <w:link w:val="9"/>
    <w:semiHidden/>
    <w:qFormat/>
    <w:uiPriority w:val="0"/>
    <w:rPr>
      <w:sz w:val="18"/>
      <w:szCs w:val="18"/>
    </w:rPr>
  </w:style>
  <w:style w:type="paragraph" w:styleId="29">
    <w:name w:val="List Paragraph"/>
    <w:basedOn w:val="1"/>
    <w:qFormat/>
    <w:uiPriority w:val="34"/>
    <w:pPr>
      <w:ind w:firstLine="420" w:firstLineChars="200"/>
    </w:pPr>
  </w:style>
  <w:style w:type="paragraph" w:customStyle="1" w:styleId="30">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table" w:customStyle="1" w:styleId="31">
    <w:name w:val="网格型1"/>
    <w:basedOn w:val="21"/>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45</Pages>
  <Words>6485</Words>
  <Characters>36968</Characters>
  <Lines>308</Lines>
  <Paragraphs>86</Paragraphs>
  <TotalTime>13</TotalTime>
  <ScaleCrop>false</ScaleCrop>
  <LinksUpToDate>false</LinksUpToDate>
  <CharactersWithSpaces>43367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2018-12-14T04:53:00Z</dcterms:created>
  <dc:creator>admin</dc:creator>
  <cp:lastModifiedBy>lingswps</cp:lastModifiedBy>
  <cp:lastPrinted>2018-12-18T01:01:36Z</cp:lastPrinted>
  <dcterms:modified xsi:type="dcterms:W3CDTF">2018-12-18T01:13:33Z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